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AB7" w14:textId="257635F5" w:rsidR="00F078A3" w:rsidRPr="00B817C7" w:rsidRDefault="00F078A3" w:rsidP="008E64C5">
      <w:pPr>
        <w:pStyle w:val="Normlnweb"/>
        <w:spacing w:before="0" w:beforeAutospacing="0" w:after="0" w:afterAutospacing="0"/>
        <w:jc w:val="center"/>
        <w:rPr>
          <w:b/>
          <w:bCs/>
          <w:color w:val="212529"/>
          <w:sz w:val="22"/>
          <w:szCs w:val="22"/>
          <w:u w:val="single"/>
        </w:rPr>
      </w:pPr>
      <w:r w:rsidRPr="00B817C7">
        <w:rPr>
          <w:b/>
          <w:bCs/>
          <w:color w:val="212529"/>
          <w:sz w:val="22"/>
          <w:szCs w:val="22"/>
          <w:u w:val="single"/>
        </w:rPr>
        <w:t xml:space="preserve">Aktuální stav agend </w:t>
      </w:r>
      <w:r w:rsidR="00D46331" w:rsidRPr="00B817C7">
        <w:rPr>
          <w:b/>
          <w:bCs/>
          <w:color w:val="212529"/>
          <w:sz w:val="22"/>
          <w:szCs w:val="22"/>
          <w:u w:val="single"/>
        </w:rPr>
        <w:t xml:space="preserve">v gesci </w:t>
      </w:r>
      <w:r w:rsidR="00C4612F">
        <w:rPr>
          <w:b/>
          <w:bCs/>
          <w:color w:val="212529"/>
          <w:sz w:val="22"/>
          <w:szCs w:val="22"/>
          <w:u w:val="single"/>
        </w:rPr>
        <w:t xml:space="preserve">nebo </w:t>
      </w:r>
      <w:proofErr w:type="spellStart"/>
      <w:r w:rsidR="00C4612F">
        <w:rPr>
          <w:b/>
          <w:bCs/>
          <w:color w:val="212529"/>
          <w:sz w:val="22"/>
          <w:szCs w:val="22"/>
          <w:u w:val="single"/>
        </w:rPr>
        <w:t>spolugesci</w:t>
      </w:r>
      <w:proofErr w:type="spellEnd"/>
      <w:r w:rsidR="00C4612F">
        <w:rPr>
          <w:b/>
          <w:bCs/>
          <w:color w:val="212529"/>
          <w:sz w:val="22"/>
          <w:szCs w:val="22"/>
          <w:u w:val="single"/>
        </w:rPr>
        <w:t xml:space="preserve"> </w:t>
      </w:r>
      <w:r w:rsidR="00D46331" w:rsidRPr="00B817C7">
        <w:rPr>
          <w:b/>
          <w:bCs/>
          <w:color w:val="212529"/>
          <w:sz w:val="22"/>
          <w:szCs w:val="22"/>
          <w:u w:val="single"/>
        </w:rPr>
        <w:t xml:space="preserve">ÚNMZ projednávaných </w:t>
      </w:r>
      <w:r w:rsidRPr="00B817C7">
        <w:rPr>
          <w:b/>
          <w:bCs/>
          <w:color w:val="212529"/>
          <w:sz w:val="22"/>
          <w:szCs w:val="22"/>
          <w:u w:val="single"/>
        </w:rPr>
        <w:t xml:space="preserve">v rámci </w:t>
      </w:r>
      <w:r w:rsidR="00CF6EBF" w:rsidRPr="00B817C7">
        <w:rPr>
          <w:b/>
          <w:bCs/>
          <w:color w:val="212529"/>
          <w:sz w:val="22"/>
          <w:szCs w:val="22"/>
          <w:u w:val="single"/>
        </w:rPr>
        <w:t>pracovních orgánů Rady EU</w:t>
      </w:r>
    </w:p>
    <w:p w14:paraId="6E5FAC7A" w14:textId="69C136DB" w:rsidR="008E7C95" w:rsidRPr="00B817C7" w:rsidRDefault="00F078A3" w:rsidP="008E64C5">
      <w:pPr>
        <w:pStyle w:val="Normlnweb"/>
        <w:spacing w:before="0" w:beforeAutospacing="0" w:after="0" w:afterAutospacing="0"/>
        <w:jc w:val="center"/>
        <w:rPr>
          <w:i/>
          <w:iCs/>
          <w:sz w:val="22"/>
          <w:szCs w:val="22"/>
        </w:rPr>
      </w:pPr>
      <w:r w:rsidRPr="00B817C7">
        <w:rPr>
          <w:i/>
          <w:iCs/>
          <w:sz w:val="22"/>
          <w:szCs w:val="22"/>
        </w:rPr>
        <w:t>(aktualizace</w:t>
      </w:r>
      <w:r w:rsidR="006A3B52" w:rsidRPr="00B817C7">
        <w:rPr>
          <w:i/>
          <w:iCs/>
          <w:sz w:val="22"/>
          <w:szCs w:val="22"/>
        </w:rPr>
        <w:t xml:space="preserve"> k</w:t>
      </w:r>
      <w:r w:rsidR="007B6F4D">
        <w:rPr>
          <w:i/>
          <w:iCs/>
          <w:sz w:val="22"/>
          <w:szCs w:val="22"/>
        </w:rPr>
        <w:t> </w:t>
      </w:r>
      <w:r w:rsidR="005E39E1">
        <w:rPr>
          <w:i/>
          <w:iCs/>
          <w:sz w:val="22"/>
          <w:szCs w:val="22"/>
        </w:rPr>
        <w:t>02</w:t>
      </w:r>
      <w:r w:rsidR="007B6F4D">
        <w:rPr>
          <w:i/>
          <w:iCs/>
          <w:sz w:val="22"/>
          <w:szCs w:val="22"/>
        </w:rPr>
        <w:t xml:space="preserve">. </w:t>
      </w:r>
      <w:r w:rsidR="005E39E1">
        <w:rPr>
          <w:i/>
          <w:iCs/>
          <w:sz w:val="22"/>
          <w:szCs w:val="22"/>
        </w:rPr>
        <w:t>06</w:t>
      </w:r>
      <w:r w:rsidR="00C11D0C" w:rsidRPr="00B817C7">
        <w:rPr>
          <w:i/>
          <w:iCs/>
          <w:sz w:val="22"/>
          <w:szCs w:val="22"/>
        </w:rPr>
        <w:t>. 202</w:t>
      </w:r>
      <w:r w:rsidR="00373D62">
        <w:rPr>
          <w:i/>
          <w:iCs/>
          <w:sz w:val="22"/>
          <w:szCs w:val="22"/>
        </w:rPr>
        <w:t>6</w:t>
      </w:r>
      <w:r w:rsidRPr="00B817C7">
        <w:rPr>
          <w:i/>
          <w:iCs/>
          <w:sz w:val="22"/>
          <w:szCs w:val="22"/>
        </w:rPr>
        <w:t>)</w:t>
      </w:r>
      <w:bookmarkStart w:id="0" w:name="_Hlk136935953"/>
    </w:p>
    <w:tbl>
      <w:tblPr>
        <w:tblW w:w="15248" w:type="dxa"/>
        <w:jc w:val="center"/>
        <w:tblLayout w:type="fixed"/>
        <w:tblCellMar>
          <w:left w:w="70" w:type="dxa"/>
          <w:right w:w="70" w:type="dxa"/>
        </w:tblCellMar>
        <w:tblLook w:val="0000" w:firstRow="0" w:lastRow="0" w:firstColumn="0" w:lastColumn="0" w:noHBand="0" w:noVBand="0"/>
      </w:tblPr>
      <w:tblGrid>
        <w:gridCol w:w="80"/>
        <w:gridCol w:w="2264"/>
        <w:gridCol w:w="136"/>
        <w:gridCol w:w="1621"/>
        <w:gridCol w:w="80"/>
        <w:gridCol w:w="10977"/>
        <w:gridCol w:w="90"/>
      </w:tblGrid>
      <w:tr w:rsidR="00BD7B56" w:rsidRPr="00B817C7" w14:paraId="59235C02" w14:textId="0C8B7F76" w:rsidTr="00835FEB">
        <w:trPr>
          <w:gridBefore w:val="1"/>
          <w:wBefore w:w="80" w:type="dxa"/>
          <w:trHeight w:val="893"/>
          <w:jc w:val="center"/>
        </w:trPr>
        <w:tc>
          <w:tcPr>
            <w:tcW w:w="2400" w:type="dxa"/>
            <w:gridSpan w:val="2"/>
            <w:tcBorders>
              <w:top w:val="single" w:sz="8" w:space="0" w:color="000000"/>
              <w:left w:val="single" w:sz="8" w:space="0" w:color="000000"/>
              <w:bottom w:val="single" w:sz="8" w:space="0" w:color="000000"/>
            </w:tcBorders>
            <w:vAlign w:val="center"/>
          </w:tcPr>
          <w:p w14:paraId="6768C81E"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Návrh</w:t>
            </w:r>
          </w:p>
        </w:tc>
        <w:tc>
          <w:tcPr>
            <w:tcW w:w="1701" w:type="dxa"/>
            <w:gridSpan w:val="2"/>
            <w:tcBorders>
              <w:top w:val="single" w:sz="8" w:space="0" w:color="000000"/>
              <w:left w:val="single" w:sz="8" w:space="0" w:color="000000"/>
              <w:bottom w:val="single" w:sz="8" w:space="0" w:color="000000"/>
            </w:tcBorders>
            <w:vAlign w:val="center"/>
          </w:tcPr>
          <w:p w14:paraId="39D21438" w14:textId="2ABDB701"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Gestor</w:t>
            </w:r>
          </w:p>
          <w:p w14:paraId="4B5E82B5"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(za PS/za předpis)</w:t>
            </w:r>
          </w:p>
        </w:tc>
        <w:tc>
          <w:tcPr>
            <w:tcW w:w="11067" w:type="dxa"/>
            <w:gridSpan w:val="2"/>
            <w:tcBorders>
              <w:top w:val="single" w:sz="8" w:space="0" w:color="000000"/>
              <w:left w:val="single" w:sz="8" w:space="0" w:color="000000"/>
              <w:bottom w:val="single" w:sz="8" w:space="0" w:color="000000"/>
              <w:right w:val="single" w:sz="8" w:space="0" w:color="000000"/>
            </w:tcBorders>
            <w:vAlign w:val="center"/>
          </w:tcPr>
          <w:p w14:paraId="03C935D8"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Stav projednávání</w:t>
            </w:r>
          </w:p>
        </w:tc>
      </w:tr>
      <w:tr w:rsidR="00A63C71" w:rsidRPr="00B817C7" w14:paraId="07030FFF" w14:textId="77777777" w:rsidTr="00835FEB">
        <w:trPr>
          <w:gridBefore w:val="1"/>
          <w:wBefore w:w="80" w:type="dxa"/>
          <w:trHeight w:val="983"/>
          <w:jc w:val="center"/>
        </w:trPr>
        <w:tc>
          <w:tcPr>
            <w:tcW w:w="2400" w:type="dxa"/>
            <w:gridSpan w:val="2"/>
            <w:tcBorders>
              <w:top w:val="single" w:sz="4" w:space="0" w:color="000000"/>
              <w:left w:val="single" w:sz="8" w:space="0" w:color="000000"/>
              <w:bottom w:val="single" w:sz="4" w:space="0" w:color="000000"/>
            </w:tcBorders>
          </w:tcPr>
          <w:p w14:paraId="3E058D5F" w14:textId="77777777" w:rsidR="00A63C71" w:rsidRPr="00B817C7" w:rsidRDefault="00A63C71" w:rsidP="00A63C71">
            <w:pPr>
              <w:widowControl w:val="0"/>
              <w:spacing w:after="0" w:line="240" w:lineRule="auto"/>
              <w:ind w:left="-82"/>
              <w:jc w:val="both"/>
              <w:rPr>
                <w:rFonts w:ascii="Times New Roman" w:hAnsi="Times New Roman" w:cs="Times New Roman"/>
                <w:b/>
                <w:bCs/>
              </w:rPr>
            </w:pPr>
            <w:hyperlink r:id="rId8" w:history="1">
              <w:r w:rsidRPr="00B817C7">
                <w:rPr>
                  <w:rStyle w:val="Hypertextovodkaz"/>
                  <w:rFonts w:ascii="Times New Roman" w:hAnsi="Times New Roman" w:cs="Times New Roman"/>
                  <w:b/>
                  <w:bCs/>
                </w:rPr>
                <w:t>Návrh směrnice, kterou se mění směrnice 2000/14/ES, 2011/65/EU, 2013/53/EU, 2014/29/EU, 2014/30/EU, 2014/31/EU, 2014/32/EU, 2014/33/EU, 2014/34/EU, 2014/35/EU, 2014/53/EU, 2014/68/EU, 2014/90/EU pokud jde o digitalizaci a společné specifikace.</w:t>
              </w:r>
            </w:hyperlink>
          </w:p>
          <w:p w14:paraId="760D3F77" w14:textId="77777777" w:rsidR="00A63C71" w:rsidRPr="00B817C7" w:rsidRDefault="00A63C71" w:rsidP="00A63C71">
            <w:pPr>
              <w:widowControl w:val="0"/>
              <w:spacing w:after="0" w:line="240" w:lineRule="auto"/>
              <w:ind w:left="-82"/>
              <w:jc w:val="both"/>
              <w:rPr>
                <w:rFonts w:ascii="Times New Roman" w:hAnsi="Times New Roman" w:cs="Times New Roman"/>
              </w:rPr>
            </w:pPr>
            <w:hyperlink r:id="rId9" w:history="1">
              <w:r w:rsidRPr="00B817C7">
                <w:rPr>
                  <w:rStyle w:val="Hypertextovodkaz"/>
                  <w:rFonts w:ascii="Times New Roman" w:hAnsi="Times New Roman" w:cs="Times New Roman"/>
                  <w:b/>
                  <w:bCs/>
                </w:rPr>
                <w:t>Návrh nařízení, kterým se mění nařízení (EU) 765/2008, 2016/424, 2015/425. 2016/426, 2024/1230, 2023/1542 a 2024/1781 pokud jde o digitalizaci a společné specifikace</w:t>
              </w:r>
            </w:hyperlink>
          </w:p>
        </w:tc>
        <w:tc>
          <w:tcPr>
            <w:tcW w:w="1701" w:type="dxa"/>
            <w:gridSpan w:val="2"/>
            <w:tcBorders>
              <w:top w:val="single" w:sz="4" w:space="0" w:color="000000"/>
              <w:left w:val="single" w:sz="4" w:space="0" w:color="000000"/>
              <w:bottom w:val="single" w:sz="4" w:space="0" w:color="000000"/>
            </w:tcBorders>
          </w:tcPr>
          <w:p w14:paraId="75489CC8" w14:textId="77777777" w:rsidR="00A63C71" w:rsidRPr="00B817C7" w:rsidRDefault="00A63C71" w:rsidP="00A63C71">
            <w:pPr>
              <w:widowControl w:val="0"/>
              <w:suppressAutoHyphens/>
              <w:spacing w:after="0" w:line="240" w:lineRule="auto"/>
              <w:jc w:val="center"/>
              <w:rPr>
                <w:rFonts w:ascii="Times New Roman" w:eastAsia="Times New Roman" w:hAnsi="Times New Roman" w:cs="Times New Roman"/>
                <w:lang w:eastAsia="zh-CN"/>
              </w:rPr>
            </w:pPr>
            <w:r w:rsidRPr="00B872A5">
              <w:rPr>
                <w:rFonts w:ascii="Times New Roman" w:eastAsia="Times New Roman" w:hAnsi="Times New Roman" w:cs="Times New Roman"/>
                <w:lang w:eastAsia="zh-CN"/>
              </w:rPr>
              <w:t>PS A.14a</w:t>
            </w:r>
            <w:r w:rsidRPr="00B817C7">
              <w:rPr>
                <w:rFonts w:ascii="Times New Roman" w:eastAsia="Times New Roman" w:hAnsi="Times New Roman" w:cs="Times New Roman"/>
                <w:lang w:eastAsia="zh-CN"/>
              </w:rPr>
              <w:t xml:space="preserve"> -MZV/ÚNMZ</w:t>
            </w:r>
          </w:p>
        </w:tc>
        <w:tc>
          <w:tcPr>
            <w:tcW w:w="11067" w:type="dxa"/>
            <w:gridSpan w:val="2"/>
            <w:tcBorders>
              <w:top w:val="single" w:sz="4" w:space="0" w:color="000000"/>
              <w:left w:val="single" w:sz="4" w:space="0" w:color="000000"/>
              <w:bottom w:val="single" w:sz="4" w:space="0" w:color="000000"/>
              <w:right w:val="single" w:sz="8" w:space="0" w:color="000000"/>
            </w:tcBorders>
          </w:tcPr>
          <w:p w14:paraId="66F5E848" w14:textId="77777777" w:rsidR="008F2659" w:rsidRPr="008F2659" w:rsidRDefault="008F2659" w:rsidP="008F2659">
            <w:pPr>
              <w:pStyle w:val="Normlnweb"/>
              <w:spacing w:before="0" w:beforeAutospacing="0" w:after="0" w:afterAutospacing="0"/>
              <w:jc w:val="both"/>
              <w:rPr>
                <w:sz w:val="22"/>
                <w:szCs w:val="22"/>
              </w:rPr>
            </w:pPr>
            <w:r w:rsidRPr="008F2659">
              <w:rPr>
                <w:sz w:val="22"/>
                <w:szCs w:val="22"/>
              </w:rPr>
              <w:t xml:space="preserve">EK zveřejnila oba návrhy 21. 5. 2025 v rámci IV. simplifikačního omnibusu ke zjednodušení administrativní zátěže. Cílem je </w:t>
            </w:r>
            <w:r w:rsidRPr="008F2659">
              <w:rPr>
                <w:sz w:val="22"/>
                <w:szCs w:val="22"/>
                <w:u w:val="single"/>
              </w:rPr>
              <w:t>digitalizace</w:t>
            </w:r>
            <w:r w:rsidRPr="008F2659">
              <w:rPr>
                <w:sz w:val="22"/>
                <w:szCs w:val="22"/>
              </w:rPr>
              <w:t xml:space="preserve"> povinností hospodářských subjektů, zejména zavedením povinného elektronického EU prohlášení o shodě přístupného přes internetovou adresu či strojově čitelný kód. Výrobci budou nově na výrobcích uvádět „digitální kontakt“ a návody budou moci poskytovat v elektronické podobě, s výjimkou bezpečnostních informací, které zůstávají v papírové formě nebo musí být uvedeny přímo na výrobku. Návrhy dále zavádějí výhradně elektronickou komunikaci s vnitrostátními orgány a povinnost integrovat dokumentaci do digitálního pasu výrobku (DPP) u výrobků, které jej vyžadují. Součástí navrhované úpravy je také možnost</w:t>
            </w:r>
            <w:r w:rsidRPr="008F2659">
              <w:rPr>
                <w:b/>
                <w:bCs/>
                <w:sz w:val="22"/>
                <w:szCs w:val="22"/>
              </w:rPr>
              <w:t xml:space="preserve"> </w:t>
            </w:r>
            <w:r w:rsidRPr="008F2659">
              <w:rPr>
                <w:sz w:val="22"/>
                <w:szCs w:val="22"/>
                <w:u w:val="single"/>
              </w:rPr>
              <w:t>přijmout společné specifikace,</w:t>
            </w:r>
            <w:r w:rsidRPr="008F2659">
              <w:rPr>
                <w:sz w:val="22"/>
                <w:szCs w:val="22"/>
              </w:rPr>
              <w:t xml:space="preserve"> které mají sloužit jako záložní řešení v situacích, kdy prokazování shody nelze zajistit skrze harmonizované normy, například z důvodu jejich neexistence, nedostatečnosti nebo vzniku naléhavé potřeby.</w:t>
            </w:r>
          </w:p>
          <w:p w14:paraId="37530567" w14:textId="7F2C1883" w:rsidR="002119C0" w:rsidRPr="008F2659" w:rsidRDefault="008F2659" w:rsidP="00BA7048">
            <w:pPr>
              <w:spacing w:before="120" w:after="0" w:line="240" w:lineRule="auto"/>
              <w:jc w:val="both"/>
              <w:rPr>
                <w:rFonts w:ascii="Times New Roman" w:hAnsi="Times New Roman" w:cs="Times New Roman"/>
              </w:rPr>
            </w:pPr>
            <w:r w:rsidRPr="008F2659">
              <w:rPr>
                <w:rFonts w:ascii="Times New Roman" w:eastAsiaTheme="minorEastAsia" w:hAnsi="Times New Roman" w:cs="Times New Roman"/>
                <w:i/>
                <w:iCs/>
              </w:rPr>
              <w:t xml:space="preserve">EK prezentovala celý IV. simplifikační omnibus 28. 5. 2025 na PS Rady A.14a </w:t>
            </w:r>
            <w:proofErr w:type="spellStart"/>
            <w:r w:rsidRPr="008F2659">
              <w:rPr>
                <w:rFonts w:ascii="Times New Roman" w:eastAsiaTheme="minorEastAsia" w:hAnsi="Times New Roman" w:cs="Times New Roman"/>
                <w:i/>
                <w:iCs/>
              </w:rPr>
              <w:t>Antici</w:t>
            </w:r>
            <w:proofErr w:type="spellEnd"/>
            <w:r w:rsidRPr="008F2659">
              <w:rPr>
                <w:rFonts w:ascii="Times New Roman" w:eastAsiaTheme="minorEastAsia" w:hAnsi="Times New Roman" w:cs="Times New Roman"/>
                <w:i/>
                <w:iCs/>
              </w:rPr>
              <w:t xml:space="preserve"> pro zjednodušování. Oba návrhy byly diskutovány na šesti zasedáních této PS a 24. 9. 2025 CRP II schválil </w:t>
            </w:r>
            <w:hyperlink r:id="rId10">
              <w:r w:rsidRPr="008F2659">
                <w:rPr>
                  <w:rStyle w:val="Hypertextovodkaz"/>
                  <w:rFonts w:ascii="Times New Roman" w:eastAsiaTheme="minorEastAsia" w:hAnsi="Times New Roman" w:cs="Times New Roman"/>
                  <w:i/>
                  <w:iCs/>
                </w:rPr>
                <w:t>mandát pro zahájení jednání s EP</w:t>
              </w:r>
            </w:hyperlink>
            <w:r w:rsidR="00C93D94">
              <w:rPr>
                <w:rFonts w:ascii="Times New Roman" w:eastAsia="Times New Roman" w:hAnsi="Times New Roman" w:cs="Times New Roman"/>
                <w:bCs/>
                <w:i/>
                <w:iCs/>
                <w:lang w:eastAsia="cs-CZ"/>
              </w:rPr>
              <w:t xml:space="preserve">. </w:t>
            </w:r>
            <w:r w:rsidRPr="008F2659">
              <w:rPr>
                <w:rFonts w:ascii="Times New Roman" w:eastAsia="Calibri" w:hAnsi="Times New Roman" w:cs="Times New Roman"/>
                <w:i/>
                <w:iCs/>
              </w:rPr>
              <w:t xml:space="preserve">EP schválil svou pozici dne </w:t>
            </w:r>
            <w:r w:rsidR="00387A69">
              <w:rPr>
                <w:rFonts w:ascii="Times New Roman" w:eastAsia="Calibri" w:hAnsi="Times New Roman" w:cs="Times New Roman"/>
                <w:i/>
                <w:iCs/>
              </w:rPr>
              <w:t>9</w:t>
            </w:r>
            <w:r w:rsidRPr="008F2659">
              <w:rPr>
                <w:rFonts w:ascii="Times New Roman" w:eastAsia="Calibri" w:hAnsi="Times New Roman" w:cs="Times New Roman"/>
                <w:i/>
                <w:iCs/>
              </w:rPr>
              <w:t xml:space="preserve">. 3. 2026. </w:t>
            </w:r>
            <w:r w:rsidR="00144009">
              <w:rPr>
                <w:rFonts w:ascii="Times New Roman" w:eastAsia="Calibri" w:hAnsi="Times New Roman" w:cs="Times New Roman"/>
                <w:i/>
                <w:iCs/>
              </w:rPr>
              <w:t>P</w:t>
            </w:r>
            <w:r w:rsidRPr="008F2659">
              <w:rPr>
                <w:rFonts w:ascii="Times New Roman" w:eastAsia="Calibri" w:hAnsi="Times New Roman" w:cs="Times New Roman"/>
                <w:i/>
                <w:iCs/>
              </w:rPr>
              <w:t>ozice EP a Rady se rozcházejí v následujících otázkách (1) zahrnutí prodloužení platnosti směrnice o ekodesignu do omnibusu, (2) vypuštění nařízení o akreditaci, (3) poskytování návodu v papírové podobě, (4) zohlednění osob s postižením, (5) zahrnutí telefonního kontaktu, (6) práva na informace ohledně přípravy prováděcího aktu stanovujícího společné specifikace, (7) právo podat formální námitku proti společným specifikacím, (8) spouštěcí podmínky pro přijetí společných specifikací, (9) právo vyžádat si informace ohledně souladu společných specifikací se základními požadavky a vydávání zprávy ohledně účin</w:t>
            </w:r>
            <w:r w:rsidRPr="00F87AA9">
              <w:rPr>
                <w:rFonts w:ascii="Times New Roman" w:eastAsia="Calibri" w:hAnsi="Times New Roman" w:cs="Times New Roman"/>
                <w:i/>
                <w:iCs/>
              </w:rPr>
              <w:t>nosti nařízení.</w:t>
            </w:r>
            <w:r w:rsidRPr="00F87AA9">
              <w:rPr>
                <w:rFonts w:ascii="Times New Roman" w:eastAsia="Calibri" w:hAnsi="Times New Roman" w:cs="Times New Roman"/>
              </w:rPr>
              <w:t xml:space="preserve"> </w:t>
            </w:r>
            <w:r w:rsidR="005E39E1" w:rsidRPr="00F87AA9">
              <w:rPr>
                <w:rFonts w:ascii="Times New Roman" w:eastAsiaTheme="minorEastAsia" w:hAnsi="Times New Roman" w:cs="Times New Roman"/>
                <w:i/>
                <w:iCs/>
                <w:lang w:val="cs"/>
              </w:rPr>
              <w:t xml:space="preserve">První politický trialog s EP se konal dne 15. 4. 2026. Jeho předmětem bylo vzájemné představení pozic obou institucí, a zahájení věcné diskuse k prodloužení platnosti směrnice o ekodesignu, vypuštění / zahrnutí akreditačního nařízení ke společným specifikacím. Z trialogu vyplynulo, že klíčovou politickou otázkou jsou společné specifikace. </w:t>
            </w:r>
            <w:r w:rsidR="005E39E1" w:rsidRPr="00F87AA9">
              <w:rPr>
                <w:rFonts w:ascii="Times New Roman" w:eastAsia="Calibri" w:hAnsi="Times New Roman" w:cs="Times New Roman"/>
                <w:i/>
                <w:iCs/>
                <w:color w:val="000000" w:themeColor="text1"/>
              </w:rPr>
              <w:t>V návaznosti na proběhlá technická jednání s EP předloží PRES CRP II dne 3. 6. 2026 ke schválení návrh mandátu pro druhý politický trialog s EP, který je postaven na předběžné dohodě předjednané s EP na technické úrovni. Návrh dohody byl s ČS prodiskutován na jednání AGS dne 29. 5. 2026.</w:t>
            </w:r>
          </w:p>
        </w:tc>
      </w:tr>
      <w:bookmarkEnd w:id="0"/>
      <w:tr w:rsidR="005F4AEB" w:rsidRPr="00B817C7" w14:paraId="176CACB1" w14:textId="77777777" w:rsidTr="00835FEB">
        <w:trPr>
          <w:gridBefore w:val="1"/>
          <w:wBefore w:w="80" w:type="dxa"/>
          <w:trHeight w:val="983"/>
          <w:jc w:val="center"/>
        </w:trPr>
        <w:tc>
          <w:tcPr>
            <w:tcW w:w="2400" w:type="dxa"/>
            <w:gridSpan w:val="2"/>
            <w:tcBorders>
              <w:top w:val="single" w:sz="4" w:space="0" w:color="000000"/>
              <w:left w:val="single" w:sz="8" w:space="0" w:color="000000"/>
              <w:bottom w:val="single" w:sz="4" w:space="0" w:color="000000"/>
            </w:tcBorders>
          </w:tcPr>
          <w:p w14:paraId="307A58DD" w14:textId="4AA08904" w:rsidR="005F4AEB" w:rsidRPr="00F87AA9" w:rsidRDefault="0036213A" w:rsidP="00A63C71">
            <w:pPr>
              <w:widowControl w:val="0"/>
              <w:spacing w:after="0" w:line="240" w:lineRule="auto"/>
              <w:ind w:left="-82"/>
              <w:jc w:val="both"/>
              <w:rPr>
                <w:rFonts w:ascii="Times New Roman" w:hAnsi="Times New Roman" w:cs="Times New Roman"/>
                <w:b/>
                <w:bCs/>
              </w:rPr>
            </w:pPr>
            <w:r w:rsidRPr="00BA7048">
              <w:t xml:space="preserve">Návrh rozhodnutí Rady o postoji, který má být jménem Unie přijat na Světovém fóru pro harmonizaci předpisů o vozidlech Evropské hospodářské komise </w:t>
            </w:r>
            <w:r w:rsidRPr="00BA7048">
              <w:lastRenderedPageBreak/>
              <w:t xml:space="preserve">Organizace spojených národů, pokud jde o návrhy předpisů OSN </w:t>
            </w:r>
            <w:r w:rsidRPr="00F87AA9">
              <w:rPr>
                <w:rFonts w:ascii="Times New Roman" w:hAnsi="Times New Roman" w:cs="Times New Roman"/>
                <w:b/>
                <w:bCs/>
                <w:color w:val="0000FF"/>
                <w:sz w:val="20"/>
                <w:szCs w:val="20"/>
                <w:u w:val="single"/>
              </w:rPr>
              <w:t>ve dnech 23. – 26. 6. 2026</w:t>
            </w:r>
          </w:p>
        </w:tc>
        <w:tc>
          <w:tcPr>
            <w:tcW w:w="1701" w:type="dxa"/>
            <w:gridSpan w:val="2"/>
            <w:tcBorders>
              <w:top w:val="single" w:sz="4" w:space="0" w:color="000000"/>
              <w:left w:val="single" w:sz="4" w:space="0" w:color="000000"/>
              <w:bottom w:val="single" w:sz="4" w:space="0" w:color="000000"/>
            </w:tcBorders>
          </w:tcPr>
          <w:p w14:paraId="7BCC4897" w14:textId="3B8724EE" w:rsidR="005F4AEB" w:rsidRDefault="005F4AEB" w:rsidP="00A63C71">
            <w:pPr>
              <w:widowControl w:val="0"/>
              <w:suppressAutoHyphens/>
              <w:spacing w:after="0" w:line="240" w:lineRule="auto"/>
              <w:jc w:val="center"/>
              <w:rPr>
                <w:rFonts w:ascii="Times New Roman" w:eastAsia="Times New Roman" w:hAnsi="Times New Roman" w:cs="Times New Roman"/>
                <w:lang w:eastAsia="zh-CN"/>
              </w:rPr>
            </w:pPr>
            <w:r w:rsidRPr="00D65774">
              <w:rPr>
                <w:rFonts w:ascii="Times New Roman" w:eastAsia="Times New Roman" w:hAnsi="Times New Roman" w:cs="Times New Roman"/>
                <w:lang w:eastAsia="zh-CN"/>
              </w:rPr>
              <w:lastRenderedPageBreak/>
              <w:t>ÚNMZ/MD</w:t>
            </w:r>
          </w:p>
          <w:p w14:paraId="60AFF106" w14:textId="0FBE24B1" w:rsidR="00C4612F" w:rsidRPr="00B817C7" w:rsidRDefault="00C4612F"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PS G.07</w:t>
            </w:r>
          </w:p>
        </w:tc>
        <w:tc>
          <w:tcPr>
            <w:tcW w:w="11067" w:type="dxa"/>
            <w:gridSpan w:val="2"/>
            <w:tcBorders>
              <w:top w:val="single" w:sz="4" w:space="0" w:color="000000"/>
              <w:left w:val="single" w:sz="4" w:space="0" w:color="000000"/>
              <w:bottom w:val="single" w:sz="4" w:space="0" w:color="000000"/>
              <w:right w:val="single" w:sz="8" w:space="0" w:color="000000"/>
            </w:tcBorders>
          </w:tcPr>
          <w:p w14:paraId="42F48BA2" w14:textId="3A9DA4A3" w:rsidR="00363139" w:rsidRDefault="00A8248C" w:rsidP="00A63C71">
            <w:pPr>
              <w:pStyle w:val="paragraph"/>
              <w:widowControl w:val="0"/>
              <w:spacing w:after="0" w:afterAutospacing="0"/>
              <w:jc w:val="both"/>
              <w:rPr>
                <w:rFonts w:eastAsiaTheme="minorHAnsi"/>
                <w:sz w:val="22"/>
                <w:szCs w:val="22"/>
                <w:lang w:eastAsia="en-US"/>
              </w:rPr>
            </w:pPr>
            <w:r w:rsidRPr="00B817C7">
              <w:rPr>
                <w:rFonts w:eastAsiaTheme="minorHAnsi"/>
                <w:sz w:val="22"/>
                <w:szCs w:val="22"/>
                <w:lang w:eastAsia="en-US"/>
              </w:rPr>
              <w:t>Součástí EU legislativy v rámci schvalování vozidel je velké množství předpisů OSN, které jsou zapracovány do unijní legislativy. V současné době existuje cca 170 technických předpisů OSN, které jsou pravidelně aktualizovány a případně jsou vytvářeny i nové předpisy. Výsledné hlasování o těchto předpisech probíhá v rámci skupiny WP</w:t>
            </w:r>
            <w:r w:rsidR="00D55B3A" w:rsidRPr="00B817C7">
              <w:rPr>
                <w:rFonts w:eastAsiaTheme="minorHAnsi"/>
                <w:sz w:val="22"/>
                <w:szCs w:val="22"/>
                <w:lang w:eastAsia="en-US"/>
              </w:rPr>
              <w:t>.</w:t>
            </w:r>
            <w:r w:rsidRPr="00B817C7">
              <w:rPr>
                <w:rFonts w:eastAsiaTheme="minorHAnsi"/>
                <w:sz w:val="22"/>
                <w:szCs w:val="22"/>
                <w:lang w:eastAsia="en-US"/>
              </w:rPr>
              <w:t>29 (Světové fórum pro harmonizaci předpisů týkajících se vozidel), kterého se účastní nejen zástupci signatářských států, ale i</w:t>
            </w:r>
            <w:r w:rsidR="00D55B3A" w:rsidRPr="00B817C7">
              <w:rPr>
                <w:rFonts w:eastAsiaTheme="minorHAnsi"/>
                <w:sz w:val="22"/>
                <w:szCs w:val="22"/>
                <w:lang w:eastAsia="en-US"/>
              </w:rPr>
              <w:t xml:space="preserve"> EU. Postoje, které mají být jménem EU na WP.29 přijímány, jsou </w:t>
            </w:r>
            <w:r w:rsidR="003C1DC6">
              <w:rPr>
                <w:rFonts w:eastAsiaTheme="minorHAnsi"/>
                <w:sz w:val="22"/>
                <w:szCs w:val="22"/>
                <w:lang w:eastAsia="en-US"/>
              </w:rPr>
              <w:t xml:space="preserve">také dále </w:t>
            </w:r>
            <w:r w:rsidR="00D55B3A" w:rsidRPr="00B817C7">
              <w:rPr>
                <w:rFonts w:eastAsiaTheme="minorHAnsi"/>
                <w:sz w:val="22"/>
                <w:szCs w:val="22"/>
                <w:lang w:eastAsia="en-US"/>
              </w:rPr>
              <w:t>projednávány v rámci PS G7.</w:t>
            </w:r>
          </w:p>
          <w:p w14:paraId="58BE4BBE" w14:textId="16153F7A" w:rsidR="00363139" w:rsidRPr="008E6D3F" w:rsidRDefault="005E39E1" w:rsidP="00BA7048">
            <w:pPr>
              <w:pStyle w:val="paragraph"/>
              <w:widowControl w:val="0"/>
              <w:spacing w:before="120" w:beforeAutospacing="0" w:after="0" w:afterAutospacing="0"/>
              <w:jc w:val="both"/>
            </w:pPr>
            <w:r w:rsidRPr="00EB36E3">
              <w:rPr>
                <w:rFonts w:eastAsia="Aptos"/>
                <w:i/>
                <w:iCs/>
                <w:sz w:val="20"/>
                <w:szCs w:val="20"/>
                <w:lang w:eastAsia="en-US"/>
              </w:rPr>
              <w:t xml:space="preserve"> Předmětný návrh rozhodnutí odprezent</w:t>
            </w:r>
            <w:r>
              <w:rPr>
                <w:rFonts w:eastAsia="Aptos"/>
                <w:i/>
                <w:iCs/>
                <w:sz w:val="20"/>
                <w:szCs w:val="20"/>
                <w:lang w:eastAsia="en-US"/>
              </w:rPr>
              <w:t>ovala</w:t>
            </w:r>
            <w:r w:rsidRPr="00EB36E3">
              <w:rPr>
                <w:rFonts w:eastAsia="Aptos"/>
                <w:i/>
                <w:iCs/>
                <w:sz w:val="20"/>
                <w:szCs w:val="20"/>
                <w:lang w:eastAsia="en-US"/>
              </w:rPr>
              <w:t xml:space="preserve"> EK na PS G.07 dne 1. 6. 2026.</w:t>
            </w:r>
            <w:r w:rsidR="0036213A" w:rsidRPr="0036213A">
              <w:rPr>
                <w:rFonts w:ascii="Calibri" w:eastAsiaTheme="minorHAnsi" w:hAnsi="Calibri" w:cs="Calibri"/>
                <w:color w:val="000000"/>
                <w:sz w:val="22"/>
                <w:szCs w:val="22"/>
                <w:lang w:eastAsia="en-US"/>
              </w:rPr>
              <w:t xml:space="preserve"> </w:t>
            </w:r>
            <w:r w:rsidR="00F87AA9" w:rsidRPr="00F87AA9">
              <w:rPr>
                <w:rFonts w:eastAsiaTheme="minorHAnsi"/>
                <w:color w:val="000000"/>
                <w:sz w:val="22"/>
                <w:szCs w:val="22"/>
                <w:lang w:eastAsia="en-US"/>
              </w:rPr>
              <w:t>Ž</w:t>
            </w:r>
            <w:r w:rsidR="0036213A" w:rsidRPr="00F87AA9">
              <w:rPr>
                <w:rFonts w:eastAsia="Aptos"/>
                <w:i/>
                <w:iCs/>
                <w:sz w:val="20"/>
                <w:szCs w:val="20"/>
                <w:lang w:eastAsia="en-US"/>
              </w:rPr>
              <w:t>ád</w:t>
            </w:r>
            <w:r w:rsidR="0036213A" w:rsidRPr="0036213A">
              <w:rPr>
                <w:rFonts w:eastAsia="Aptos"/>
                <w:i/>
                <w:iCs/>
                <w:sz w:val="20"/>
                <w:szCs w:val="20"/>
                <w:lang w:eastAsia="en-US"/>
              </w:rPr>
              <w:t xml:space="preserve">ný ČS nevznesl vůči návrhu rozhodnutí připomínky. </w:t>
            </w:r>
            <w:r w:rsidR="0036213A" w:rsidRPr="00BA7048">
              <w:rPr>
                <w:rFonts w:eastAsia="Aptos"/>
                <w:i/>
                <w:iCs/>
                <w:sz w:val="20"/>
                <w:szCs w:val="20"/>
                <w:lang w:eastAsia="en-US"/>
              </w:rPr>
              <w:t>Návrh bude schválen na CRP I dne 17.6. a následně na Radě AGRI dne 2.6. (jako „A“ bod).</w:t>
            </w:r>
          </w:p>
        </w:tc>
      </w:tr>
      <w:tr w:rsidR="00F17EAA" w:rsidRPr="00B817C7" w14:paraId="1184F211" w14:textId="77777777" w:rsidTr="00835FEB">
        <w:trPr>
          <w:gridBefore w:val="1"/>
          <w:wBefore w:w="80" w:type="dxa"/>
          <w:trHeight w:val="983"/>
          <w:jc w:val="center"/>
        </w:trPr>
        <w:tc>
          <w:tcPr>
            <w:tcW w:w="2400" w:type="dxa"/>
            <w:gridSpan w:val="2"/>
            <w:tcBorders>
              <w:top w:val="single" w:sz="4" w:space="0" w:color="000000"/>
              <w:left w:val="single" w:sz="8" w:space="0" w:color="000000"/>
              <w:bottom w:val="single" w:sz="4" w:space="0" w:color="000000"/>
            </w:tcBorders>
          </w:tcPr>
          <w:p w14:paraId="14766A07" w14:textId="5D37780B" w:rsidR="00F17EAA" w:rsidRPr="00F17EAA" w:rsidRDefault="00F17EAA" w:rsidP="00A63C71">
            <w:pPr>
              <w:widowControl w:val="0"/>
              <w:spacing w:after="0" w:line="240" w:lineRule="auto"/>
              <w:ind w:left="-82"/>
              <w:jc w:val="both"/>
              <w:rPr>
                <w:rFonts w:ascii="Times New Roman" w:hAnsi="Times New Roman" w:cs="Times New Roman"/>
                <w:b/>
                <w:bCs/>
                <w:color w:val="0000FF"/>
              </w:rPr>
            </w:pPr>
            <w:r w:rsidRPr="00F17EAA">
              <w:rPr>
                <w:rFonts w:ascii="Times New Roman" w:hAnsi="Times New Roman" w:cs="Times New Roman"/>
                <w:b/>
                <w:bCs/>
                <w:color w:val="0000FF"/>
              </w:rPr>
              <w:t>Návrh doporučení Rady pro zmocnění EK k zahájení jednání s Korejskou republikou o dohodě o vzájemném uznávání posuzování shody, certifikátů a označování (MRA)</w:t>
            </w:r>
          </w:p>
        </w:tc>
        <w:tc>
          <w:tcPr>
            <w:tcW w:w="1701" w:type="dxa"/>
            <w:gridSpan w:val="2"/>
            <w:tcBorders>
              <w:top w:val="single" w:sz="4" w:space="0" w:color="000000"/>
              <w:left w:val="single" w:sz="4" w:space="0" w:color="000000"/>
              <w:bottom w:val="single" w:sz="4" w:space="0" w:color="000000"/>
            </w:tcBorders>
          </w:tcPr>
          <w:p w14:paraId="0A144F2E" w14:textId="3AA47E33" w:rsidR="00F17EAA" w:rsidRDefault="00F17EAA"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MPO/ ÚNMZ</w:t>
            </w:r>
          </w:p>
          <w:p w14:paraId="1DCE3F19" w14:textId="66FED240" w:rsidR="00C4612F" w:rsidRPr="00D65774" w:rsidRDefault="00C4612F"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PS G.07</w:t>
            </w:r>
          </w:p>
        </w:tc>
        <w:tc>
          <w:tcPr>
            <w:tcW w:w="11067" w:type="dxa"/>
            <w:gridSpan w:val="2"/>
            <w:tcBorders>
              <w:top w:val="single" w:sz="4" w:space="0" w:color="000000"/>
              <w:left w:val="single" w:sz="4" w:space="0" w:color="000000"/>
              <w:bottom w:val="single" w:sz="4" w:space="0" w:color="000000"/>
              <w:right w:val="single" w:sz="8" w:space="0" w:color="000000"/>
            </w:tcBorders>
          </w:tcPr>
          <w:p w14:paraId="6080523E" w14:textId="54CBD39A" w:rsidR="00F17EAA" w:rsidRPr="00F17EAA" w:rsidRDefault="00F17EAA" w:rsidP="00F17EAA">
            <w:pPr>
              <w:pStyle w:val="paragraph"/>
              <w:widowControl w:val="0"/>
              <w:spacing w:after="0"/>
              <w:jc w:val="both"/>
              <w:rPr>
                <w:rFonts w:eastAsiaTheme="minorHAnsi"/>
                <w:sz w:val="22"/>
                <w:szCs w:val="22"/>
                <w:lang w:eastAsia="en-US"/>
              </w:rPr>
            </w:pPr>
            <w:r w:rsidRPr="00F17EAA">
              <w:rPr>
                <w:rFonts w:eastAsiaTheme="minorHAnsi"/>
                <w:sz w:val="22"/>
                <w:szCs w:val="22"/>
                <w:lang w:eastAsia="en-US"/>
              </w:rPr>
              <w:t xml:space="preserve">Dne 1. 4. 2026 zveřejnila EK návrh předmětného doporučení, včetně přílohy obsahující konkrétní směrnice pro tato jednání. Cílem navrhovaného rozhodnutí je v souladu s čl. 218 odst. 3 a 4 SFEU zmocnit EK k zahájení vyjednávání, jmenovat ji jako vyjednavače Unie, vydat pro ni příslušné směrnice a určit zvláštní výbor, s nímž musí být jednání konzultována. </w:t>
            </w:r>
            <w:r w:rsidR="00835FEB">
              <w:rPr>
                <w:rFonts w:eastAsiaTheme="minorHAnsi"/>
                <w:sz w:val="22"/>
                <w:szCs w:val="22"/>
                <w:lang w:eastAsia="en-US"/>
              </w:rPr>
              <w:t>Jako tento výbor byla stanovena PS G.07.</w:t>
            </w:r>
            <w:r w:rsidRPr="00F17EAA">
              <w:rPr>
                <w:rFonts w:eastAsiaTheme="minorHAnsi"/>
                <w:sz w:val="22"/>
                <w:szCs w:val="22"/>
                <w:lang w:eastAsia="en-US"/>
              </w:rPr>
              <w:t>Tato oblast spadá pod společnou obchodní politiku, je tedy ve výlučné pravomoci Unie.</w:t>
            </w:r>
          </w:p>
          <w:p w14:paraId="3097E52E" w14:textId="7A2E5EAA" w:rsidR="00F17EAA" w:rsidRDefault="00F17EAA" w:rsidP="00BA7048">
            <w:pPr>
              <w:pStyle w:val="paragraph"/>
              <w:widowControl w:val="0"/>
              <w:spacing w:before="120" w:beforeAutospacing="0" w:after="0" w:afterAutospacing="0"/>
              <w:jc w:val="both"/>
              <w:rPr>
                <w:rFonts w:eastAsiaTheme="minorHAnsi"/>
                <w:i/>
                <w:iCs/>
                <w:sz w:val="22"/>
                <w:szCs w:val="22"/>
                <w:lang w:eastAsia="en-US"/>
              </w:rPr>
            </w:pPr>
            <w:r w:rsidRPr="00770BCD">
              <w:rPr>
                <w:rFonts w:eastAsiaTheme="minorHAnsi"/>
                <w:i/>
                <w:iCs/>
                <w:sz w:val="22"/>
                <w:szCs w:val="22"/>
                <w:lang w:eastAsia="en-US"/>
              </w:rPr>
              <w:t>EK prezentovala návrh na PS G.7 dne 20. 5. 2026</w:t>
            </w:r>
            <w:r w:rsidR="00835FEB">
              <w:rPr>
                <w:rFonts w:eastAsiaTheme="minorHAnsi"/>
                <w:i/>
                <w:iCs/>
                <w:sz w:val="22"/>
                <w:szCs w:val="22"/>
                <w:lang w:eastAsia="en-US"/>
              </w:rPr>
              <w:t xml:space="preserve"> a dne </w:t>
            </w:r>
            <w:r w:rsidRPr="00770BCD">
              <w:rPr>
                <w:rFonts w:eastAsiaTheme="minorHAnsi"/>
                <w:i/>
                <w:iCs/>
                <w:sz w:val="22"/>
                <w:szCs w:val="22"/>
                <w:lang w:eastAsia="en-US"/>
              </w:rPr>
              <w:t xml:space="preserve">3. 6. 2026 </w:t>
            </w:r>
            <w:r w:rsidR="00835FEB">
              <w:rPr>
                <w:rFonts w:eastAsiaTheme="minorHAnsi"/>
                <w:i/>
                <w:iCs/>
                <w:sz w:val="22"/>
                <w:szCs w:val="22"/>
                <w:lang w:eastAsia="en-US"/>
              </w:rPr>
              <w:t xml:space="preserve">bude návrh předložen CRP ke schválení </w:t>
            </w:r>
            <w:r w:rsidRPr="00770BCD">
              <w:rPr>
                <w:rFonts w:eastAsiaTheme="minorHAnsi"/>
                <w:i/>
                <w:iCs/>
                <w:sz w:val="22"/>
                <w:szCs w:val="22"/>
                <w:lang w:eastAsia="en-US"/>
              </w:rPr>
              <w:t>v bodech bez diskuse a následně Radě pro telekomunikace 8. 6. 2026, aby EU mohla deklarovat připravenost k vyjednávání na summitu s Koreou dne 10. června 2026.</w:t>
            </w:r>
          </w:p>
          <w:p w14:paraId="0C577089" w14:textId="0FCA04FB" w:rsidR="00835FEB" w:rsidRPr="00770BCD" w:rsidRDefault="00835FEB" w:rsidP="00BA7048">
            <w:pPr>
              <w:pStyle w:val="paragraph"/>
              <w:widowControl w:val="0"/>
              <w:spacing w:before="0" w:beforeAutospacing="0" w:after="0" w:afterAutospacing="0"/>
              <w:jc w:val="both"/>
              <w:rPr>
                <w:rFonts w:eastAsiaTheme="minorHAnsi"/>
                <w:i/>
                <w:iCs/>
                <w:sz w:val="22"/>
                <w:szCs w:val="22"/>
                <w:lang w:eastAsia="en-US"/>
              </w:rPr>
            </w:pPr>
          </w:p>
        </w:tc>
      </w:tr>
      <w:tr w:rsidR="00835FEB" w:rsidRPr="00EB36E3" w14:paraId="604E89BC" w14:textId="77777777" w:rsidTr="00C4612F">
        <w:trPr>
          <w:gridAfter w:val="1"/>
          <w:wAfter w:w="90" w:type="dxa"/>
          <w:trHeight w:val="425"/>
          <w:jc w:val="center"/>
        </w:trPr>
        <w:tc>
          <w:tcPr>
            <w:tcW w:w="2344" w:type="dxa"/>
            <w:gridSpan w:val="2"/>
            <w:tcBorders>
              <w:top w:val="single" w:sz="4" w:space="0" w:color="000000"/>
              <w:left w:val="single" w:sz="8" w:space="0" w:color="000000"/>
              <w:bottom w:val="single" w:sz="4" w:space="0" w:color="000000"/>
            </w:tcBorders>
          </w:tcPr>
          <w:p w14:paraId="0D6935BC" w14:textId="77777777" w:rsidR="00835FEB" w:rsidRPr="00BC4DAA" w:rsidRDefault="00835FEB" w:rsidP="008854D9">
            <w:pPr>
              <w:keepNext/>
              <w:spacing w:before="120" w:after="120" w:line="240" w:lineRule="auto"/>
              <w:jc w:val="both"/>
              <w:rPr>
                <w:rFonts w:ascii="Times New Roman" w:hAnsi="Times New Roman"/>
                <w:b/>
                <w:bCs/>
              </w:rPr>
            </w:pPr>
            <w:hyperlink r:id="rId11" w:history="1">
              <w:r w:rsidRPr="00BC4DAA">
                <w:rPr>
                  <w:rStyle w:val="Hypertextovodkaz"/>
                  <w:rFonts w:ascii="Times New Roman" w:hAnsi="Times New Roman"/>
                  <w:b/>
                  <w:bCs/>
                </w:rPr>
                <w:t>Návrh nařízení, kterým se mění nařízení (EU) 2024/1689 a (EU) 2018/1139, pokud jde o zjednodušení provádění harmonizovaných pravidel pro umělou inteligenci (souhrnný balíček pro digitální oblast týkající se umělé inteligence)</w:t>
              </w:r>
            </w:hyperlink>
          </w:p>
        </w:tc>
        <w:tc>
          <w:tcPr>
            <w:tcW w:w="1757" w:type="dxa"/>
            <w:gridSpan w:val="2"/>
            <w:tcBorders>
              <w:top w:val="single" w:sz="4" w:space="0" w:color="000000"/>
              <w:left w:val="single" w:sz="4" w:space="0" w:color="000000"/>
              <w:bottom w:val="single" w:sz="4" w:space="0" w:color="000000"/>
            </w:tcBorders>
          </w:tcPr>
          <w:p w14:paraId="183F23B3" w14:textId="77777777" w:rsidR="00835FEB" w:rsidRPr="00F87AA9" w:rsidRDefault="00835FEB" w:rsidP="008854D9">
            <w:pPr>
              <w:keepNext/>
              <w:widowControl w:val="0"/>
              <w:suppressAutoHyphens/>
              <w:spacing w:before="120" w:after="120" w:line="240" w:lineRule="auto"/>
              <w:jc w:val="center"/>
              <w:rPr>
                <w:rFonts w:ascii="Times New Roman" w:hAnsi="Times New Roman"/>
                <w:lang w:eastAsia="zh-CN"/>
              </w:rPr>
            </w:pPr>
            <w:r w:rsidRPr="00F87AA9">
              <w:rPr>
                <w:rFonts w:ascii="Times New Roman" w:hAnsi="Times New Roman"/>
                <w:lang w:eastAsia="zh-CN"/>
              </w:rPr>
              <w:t>MZV/MPO</w:t>
            </w:r>
          </w:p>
          <w:p w14:paraId="4949388F" w14:textId="77777777" w:rsidR="00835FEB" w:rsidRPr="00EB36E3" w:rsidRDefault="00835FEB" w:rsidP="008854D9">
            <w:pPr>
              <w:keepNext/>
              <w:widowControl w:val="0"/>
              <w:suppressAutoHyphens/>
              <w:spacing w:before="120" w:after="120" w:line="240" w:lineRule="auto"/>
              <w:jc w:val="center"/>
              <w:rPr>
                <w:rFonts w:ascii="Times New Roman" w:hAnsi="Times New Roman"/>
                <w:sz w:val="20"/>
                <w:szCs w:val="20"/>
                <w:lang w:eastAsia="zh-CN"/>
              </w:rPr>
            </w:pPr>
            <w:r w:rsidRPr="00F87AA9">
              <w:rPr>
                <w:rFonts w:ascii="Times New Roman" w:hAnsi="Times New Roman"/>
                <w:lang w:eastAsia="zh-CN"/>
              </w:rPr>
              <w:t>PS A.</w:t>
            </w:r>
            <w:proofErr w:type="gramStart"/>
            <w:r w:rsidRPr="00F87AA9">
              <w:rPr>
                <w:rFonts w:ascii="Times New Roman" w:hAnsi="Times New Roman"/>
                <w:lang w:eastAsia="zh-CN"/>
              </w:rPr>
              <w:t>14a</w:t>
            </w:r>
            <w:proofErr w:type="gramEnd"/>
          </w:p>
        </w:tc>
        <w:tc>
          <w:tcPr>
            <w:tcW w:w="11057" w:type="dxa"/>
            <w:gridSpan w:val="2"/>
            <w:tcBorders>
              <w:top w:val="single" w:sz="4" w:space="0" w:color="000000"/>
              <w:left w:val="single" w:sz="4" w:space="0" w:color="000000"/>
              <w:bottom w:val="single" w:sz="4" w:space="0" w:color="000000"/>
              <w:right w:val="single" w:sz="8" w:space="0" w:color="000000"/>
            </w:tcBorders>
          </w:tcPr>
          <w:p w14:paraId="190B9813" w14:textId="77777777" w:rsidR="00835FEB" w:rsidRPr="00C4612F" w:rsidRDefault="00835FEB" w:rsidP="008854D9">
            <w:pPr>
              <w:keepNext/>
              <w:spacing w:before="120" w:after="120" w:line="240" w:lineRule="auto"/>
              <w:jc w:val="both"/>
              <w:rPr>
                <w:rFonts w:ascii="Times New Roman" w:hAnsi="Times New Roman"/>
                <w:bCs/>
              </w:rPr>
            </w:pPr>
            <w:r w:rsidRPr="00C4612F">
              <w:rPr>
                <w:rFonts w:ascii="Times New Roman" w:hAnsi="Times New Roman"/>
              </w:rPr>
              <w:t xml:space="preserve">EK předložila dne 19. </w:t>
            </w:r>
            <w:r w:rsidRPr="00C4612F">
              <w:rPr>
                <w:rFonts w:ascii="Times New Roman" w:hAnsi="Times New Roman"/>
                <w:bCs/>
              </w:rPr>
              <w:t xml:space="preserve">11. </w:t>
            </w:r>
            <w:r w:rsidRPr="00C4612F">
              <w:rPr>
                <w:rFonts w:ascii="Times New Roman" w:hAnsi="Times New Roman"/>
              </w:rPr>
              <w:t>2025 návrh tzv. AI omnibusu jako součást digitálního omnibusu, jehož deklarovaným cílem je zjednodušení provádění harmonizovaných pravidel pro umělou inteligenci stanoveným nařízením (EU) 2024/1689 (AI akt).</w:t>
            </w:r>
            <w:r w:rsidRPr="00C4612F">
              <w:rPr>
                <w:rFonts w:ascii="Times New Roman" w:hAnsi="Times New Roman"/>
                <w:bCs/>
              </w:rPr>
              <w:t xml:space="preserve"> T</w:t>
            </w:r>
            <w:r w:rsidRPr="00C4612F">
              <w:rPr>
                <w:rFonts w:ascii="Times New Roman" w:hAnsi="Times New Roman"/>
              </w:rPr>
              <w:t xml:space="preserve">ento balíček opatření slaďuje lhůty pro uplatňování pravidel s reálnou dostupností norem, rozšiřuje administrativní úlevy i na podniky typu </w:t>
            </w:r>
            <w:proofErr w:type="spellStart"/>
            <w:r w:rsidRPr="00C4612F">
              <w:rPr>
                <w:rFonts w:ascii="Times New Roman" w:hAnsi="Times New Roman"/>
              </w:rPr>
              <w:t>small</w:t>
            </w:r>
            <w:proofErr w:type="spellEnd"/>
            <w:r w:rsidRPr="00C4612F">
              <w:rPr>
                <w:rFonts w:ascii="Times New Roman" w:hAnsi="Times New Roman"/>
              </w:rPr>
              <w:t xml:space="preserve"> </w:t>
            </w:r>
            <w:proofErr w:type="spellStart"/>
            <w:r w:rsidRPr="00C4612F">
              <w:rPr>
                <w:rFonts w:ascii="Times New Roman" w:hAnsi="Times New Roman"/>
              </w:rPr>
              <w:t>mid</w:t>
            </w:r>
            <w:proofErr w:type="spellEnd"/>
            <w:r w:rsidRPr="00C4612F">
              <w:rPr>
                <w:rFonts w:ascii="Times New Roman" w:hAnsi="Times New Roman"/>
              </w:rPr>
              <w:t xml:space="preserve">-cap a posiluje pravomoci úřadu AI Office v dohledu nad modely obecného použití (GPAI). Současně zefektivňuje procesy posuzování shody zejména pokud jde o soulad AI Aktu s harmonizační legislativou Unie uvedenou v části A přílohy I. Postup pro žádosti o notifikaci a jejich posouzení by měl být sjednocen, aby se snížilo riziko nedostatku notifikovaných subjektů při zahájení účinnosti pravidel. Současně by měla být vytvořena nová příloha AI Aktu obsahující kódy, podle nichž se notifikované subjekty klasifikují a registrují v systému NANDO, což má podpořit rychlé zřízení těchto subjektů a jejich začlenění do stávajících rámců. </w:t>
            </w:r>
            <w:r w:rsidRPr="00C4612F">
              <w:rPr>
                <w:rFonts w:ascii="Times New Roman" w:hAnsi="Times New Roman"/>
                <w:bCs/>
              </w:rPr>
              <w:t xml:space="preserve">Dále </w:t>
            </w:r>
            <w:r w:rsidRPr="00C4612F">
              <w:rPr>
                <w:rFonts w:ascii="Times New Roman" w:hAnsi="Times New Roman"/>
              </w:rPr>
              <w:t xml:space="preserve">rozšiřuje možnosti testování v </w:t>
            </w:r>
            <w:proofErr w:type="spellStart"/>
            <w:r w:rsidRPr="00C4612F">
              <w:rPr>
                <w:rFonts w:ascii="Times New Roman" w:hAnsi="Times New Roman"/>
              </w:rPr>
              <w:t>sandboxech</w:t>
            </w:r>
            <w:proofErr w:type="spellEnd"/>
            <w:r w:rsidRPr="00C4612F">
              <w:rPr>
                <w:rFonts w:ascii="Times New Roman" w:hAnsi="Times New Roman"/>
              </w:rPr>
              <w:t xml:space="preserve"> a zavádí přechodné období pro označování výstupů generativní AI. Celkový rámec doplňují technické opravy a nelegislativní podpora, jako je spuštění platformy AI </w:t>
            </w:r>
            <w:proofErr w:type="spellStart"/>
            <w:r w:rsidRPr="00C4612F">
              <w:rPr>
                <w:rFonts w:ascii="Times New Roman" w:hAnsi="Times New Roman"/>
              </w:rPr>
              <w:t>Act</w:t>
            </w:r>
            <w:proofErr w:type="spellEnd"/>
            <w:r w:rsidRPr="00C4612F">
              <w:rPr>
                <w:rFonts w:ascii="Times New Roman" w:hAnsi="Times New Roman"/>
              </w:rPr>
              <w:t xml:space="preserve"> </w:t>
            </w:r>
            <w:proofErr w:type="spellStart"/>
            <w:r w:rsidRPr="00C4612F">
              <w:rPr>
                <w:rFonts w:ascii="Times New Roman" w:hAnsi="Times New Roman"/>
              </w:rPr>
              <w:t>Service</w:t>
            </w:r>
            <w:proofErr w:type="spellEnd"/>
            <w:r w:rsidRPr="00C4612F">
              <w:rPr>
                <w:rFonts w:ascii="Times New Roman" w:hAnsi="Times New Roman"/>
              </w:rPr>
              <w:t xml:space="preserve"> </w:t>
            </w:r>
            <w:proofErr w:type="spellStart"/>
            <w:r w:rsidRPr="00C4612F">
              <w:rPr>
                <w:rFonts w:ascii="Times New Roman" w:hAnsi="Times New Roman"/>
              </w:rPr>
              <w:t>Desk</w:t>
            </w:r>
            <w:proofErr w:type="spellEnd"/>
            <w:r w:rsidRPr="00C4612F">
              <w:rPr>
                <w:rFonts w:ascii="Times New Roman" w:hAnsi="Times New Roman"/>
              </w:rPr>
              <w:t xml:space="preserve"> a vydávání metodických pokynů pro usnadnění aplikace pravidel v praxi.</w:t>
            </w:r>
          </w:p>
          <w:p w14:paraId="6CD5C75F" w14:textId="77777777" w:rsidR="00835FEB" w:rsidRPr="00C4612F" w:rsidRDefault="00835FEB" w:rsidP="008854D9">
            <w:pPr>
              <w:pStyle w:val="OdstavecCOPS"/>
              <w:keepNext/>
              <w:spacing w:before="120" w:after="120"/>
              <w:jc w:val="both"/>
              <w:rPr>
                <w:rFonts w:eastAsia="Aptos"/>
                <w:i/>
                <w:iCs/>
                <w:sz w:val="22"/>
                <w:szCs w:val="22"/>
                <w:lang w:eastAsia="en-US"/>
              </w:rPr>
            </w:pPr>
            <w:r w:rsidRPr="00C4612F">
              <w:rPr>
                <w:rFonts w:eastAsia="Aptos"/>
                <w:i/>
                <w:iCs/>
                <w:sz w:val="22"/>
                <w:szCs w:val="22"/>
                <w:lang w:eastAsia="en-US"/>
              </w:rPr>
              <w:t xml:space="preserve">Rada schválila svůj </w:t>
            </w:r>
            <w:hyperlink r:id="rId12" w:history="1">
              <w:r w:rsidRPr="00C4612F">
                <w:rPr>
                  <w:rStyle w:val="Hypertextovodkaz"/>
                  <w:rFonts w:eastAsia="Aptos"/>
                  <w:i/>
                  <w:iCs/>
                  <w:sz w:val="22"/>
                  <w:szCs w:val="22"/>
                  <w:lang w:eastAsia="en-US"/>
                </w:rPr>
                <w:t>mandát</w:t>
              </w:r>
            </w:hyperlink>
            <w:r w:rsidRPr="00C4612F">
              <w:rPr>
                <w:rFonts w:eastAsia="Aptos"/>
                <w:i/>
                <w:iCs/>
                <w:sz w:val="22"/>
                <w:szCs w:val="22"/>
                <w:lang w:eastAsia="en-US"/>
              </w:rPr>
              <w:t xml:space="preserve"> v září 2025 a EP přijal svou </w:t>
            </w:r>
            <w:hyperlink r:id="rId13" w:history="1">
              <w:r w:rsidRPr="00C4612F">
                <w:rPr>
                  <w:rStyle w:val="Hypertextovodkaz"/>
                  <w:rFonts w:eastAsia="Aptos"/>
                  <w:i/>
                  <w:iCs/>
                  <w:sz w:val="22"/>
                  <w:szCs w:val="22"/>
                  <w:lang w:eastAsia="en-US"/>
                </w:rPr>
                <w:t>pozici</w:t>
              </w:r>
            </w:hyperlink>
            <w:r w:rsidRPr="00C4612F">
              <w:rPr>
                <w:rFonts w:eastAsia="Aptos"/>
                <w:i/>
                <w:iCs/>
                <w:sz w:val="22"/>
                <w:szCs w:val="22"/>
                <w:lang w:eastAsia="en-US"/>
              </w:rPr>
              <w:t xml:space="preserve"> v březnu 2026. První politický trialog se uskutečnil 26. 3. 2026 a následovala intenzivní technická jednání, během nichž byla dosažena shoda na většině prvků návrhu. Ačkoliv druhý trialog z 28. 4. 2026 dohodu nepřinesl, </w:t>
            </w:r>
            <w:r w:rsidRPr="00C4612F">
              <w:rPr>
                <w:rFonts w:eastAsia="Aptos"/>
                <w:bCs w:val="0"/>
                <w:i/>
                <w:iCs/>
                <w:sz w:val="22"/>
                <w:szCs w:val="22"/>
                <w:lang w:eastAsia="en-US"/>
              </w:rPr>
              <w:t xml:space="preserve">třetí politický trialog dne 6. 5. 2026 již vedl k politické dohodě. </w:t>
            </w:r>
            <w:r w:rsidRPr="00C4612F">
              <w:rPr>
                <w:rFonts w:eastAsia="Aptos"/>
                <w:i/>
                <w:iCs/>
                <w:sz w:val="22"/>
                <w:szCs w:val="22"/>
                <w:lang w:eastAsia="en-US"/>
              </w:rPr>
              <w:t>Tato dohoda byla 13. 5. 2026 schválena CRP a postoupena k závěrečnému potvrzení EP.</w:t>
            </w:r>
          </w:p>
        </w:tc>
      </w:tr>
      <w:tr w:rsidR="00835FEB" w:rsidRPr="00EB36E3" w14:paraId="43D2C31A" w14:textId="77777777" w:rsidTr="00BA7048">
        <w:trPr>
          <w:gridAfter w:val="1"/>
          <w:wAfter w:w="90" w:type="dxa"/>
          <w:trHeight w:val="425"/>
          <w:jc w:val="center"/>
        </w:trPr>
        <w:tc>
          <w:tcPr>
            <w:tcW w:w="2344" w:type="dxa"/>
            <w:gridSpan w:val="2"/>
            <w:tcBorders>
              <w:top w:val="single" w:sz="4" w:space="0" w:color="000000"/>
              <w:left w:val="single" w:sz="8" w:space="0" w:color="000000"/>
              <w:bottom w:val="single" w:sz="4" w:space="0" w:color="000000"/>
            </w:tcBorders>
          </w:tcPr>
          <w:p w14:paraId="4006E5D0" w14:textId="77777777" w:rsidR="00835FEB" w:rsidRPr="00BC4DAA" w:rsidRDefault="00835FEB" w:rsidP="008854D9">
            <w:pPr>
              <w:spacing w:before="120" w:after="120" w:line="240" w:lineRule="auto"/>
              <w:rPr>
                <w:rFonts w:ascii="Times New Roman" w:hAnsi="Times New Roman"/>
                <w:b/>
                <w:bCs/>
              </w:rPr>
            </w:pPr>
            <w:hyperlink r:id="rId14" w:history="1">
              <w:r w:rsidRPr="00BC4DAA">
                <w:rPr>
                  <w:rStyle w:val="Hypertextovodkaz"/>
                  <w:rFonts w:ascii="Times New Roman" w:hAnsi="Times New Roman"/>
                  <w:b/>
                  <w:bCs/>
                </w:rPr>
                <w:t xml:space="preserve">Návrh nařízení EP a Rady, kterým se mění nařízení (EU) 2017/745 a (EU) 2017/746, pokud jde o </w:t>
              </w:r>
              <w:r w:rsidRPr="00BC4DAA">
                <w:rPr>
                  <w:rStyle w:val="Hypertextovodkaz"/>
                  <w:rFonts w:ascii="Times New Roman" w:hAnsi="Times New Roman"/>
                  <w:b/>
                  <w:bCs/>
                </w:rPr>
                <w:lastRenderedPageBreak/>
                <w:t>zjednodušení pravidel pro zdravotnické prostředky a diagnostické zdravotnické prostředky in vitro a snížení související zátěže, a kterým se mění nařízení (EU) 2022/123, pokud jde o podporu Evropské agentury pro léčivé přípravky poskytovanou odborným skupinám pro zdravotnické prostředky, a nařízení (EU) 2024/1689, pokud jde o seznam harmonizačních právních předpisů Unie uvedený v jeho příloze I</w:t>
              </w:r>
            </w:hyperlink>
          </w:p>
        </w:tc>
        <w:tc>
          <w:tcPr>
            <w:tcW w:w="1757" w:type="dxa"/>
            <w:gridSpan w:val="2"/>
            <w:tcBorders>
              <w:top w:val="single" w:sz="4" w:space="0" w:color="000000"/>
              <w:left w:val="single" w:sz="4" w:space="0" w:color="000000"/>
              <w:bottom w:val="single" w:sz="4" w:space="0" w:color="000000"/>
            </w:tcBorders>
          </w:tcPr>
          <w:p w14:paraId="63AB2158" w14:textId="77777777" w:rsidR="00835FEB" w:rsidRPr="00BC4DAA" w:rsidRDefault="00835FEB" w:rsidP="008854D9">
            <w:pPr>
              <w:widowControl w:val="0"/>
              <w:suppressAutoHyphens/>
              <w:spacing w:before="120" w:after="120" w:line="240" w:lineRule="auto"/>
              <w:jc w:val="center"/>
              <w:rPr>
                <w:rFonts w:ascii="Times New Roman" w:hAnsi="Times New Roman"/>
                <w:lang w:eastAsia="zh-CN"/>
              </w:rPr>
            </w:pPr>
            <w:proofErr w:type="spellStart"/>
            <w:r w:rsidRPr="00BC4DAA">
              <w:rPr>
                <w:rFonts w:ascii="Times New Roman" w:hAnsi="Times New Roman"/>
                <w:lang w:eastAsia="zh-CN"/>
              </w:rPr>
              <w:lastRenderedPageBreak/>
              <w:t>MZd</w:t>
            </w:r>
            <w:proofErr w:type="spellEnd"/>
            <w:r w:rsidRPr="00BC4DAA">
              <w:rPr>
                <w:rFonts w:ascii="Times New Roman" w:hAnsi="Times New Roman"/>
                <w:lang w:eastAsia="zh-CN"/>
              </w:rPr>
              <w:t>/</w:t>
            </w:r>
            <w:proofErr w:type="spellStart"/>
            <w:r w:rsidRPr="00BC4DAA">
              <w:rPr>
                <w:rFonts w:ascii="Times New Roman" w:hAnsi="Times New Roman"/>
                <w:lang w:eastAsia="zh-CN"/>
              </w:rPr>
              <w:t>MZd</w:t>
            </w:r>
            <w:proofErr w:type="spellEnd"/>
          </w:p>
          <w:p w14:paraId="372B236E" w14:textId="77777777" w:rsidR="00835FEB" w:rsidRPr="00EB36E3" w:rsidRDefault="00835FEB" w:rsidP="008854D9">
            <w:pPr>
              <w:widowControl w:val="0"/>
              <w:suppressAutoHyphens/>
              <w:spacing w:before="120" w:after="120" w:line="240" w:lineRule="auto"/>
              <w:jc w:val="center"/>
              <w:rPr>
                <w:rFonts w:ascii="Times New Roman" w:hAnsi="Times New Roman"/>
                <w:sz w:val="20"/>
                <w:szCs w:val="20"/>
                <w:lang w:eastAsia="zh-CN"/>
              </w:rPr>
            </w:pPr>
            <w:r w:rsidRPr="00BC4DAA">
              <w:rPr>
                <w:rFonts w:ascii="Times New Roman" w:hAnsi="Times New Roman"/>
                <w:lang w:eastAsia="zh-CN"/>
              </w:rPr>
              <w:t>PS I.4</w:t>
            </w:r>
          </w:p>
        </w:tc>
        <w:tc>
          <w:tcPr>
            <w:tcW w:w="11057" w:type="dxa"/>
            <w:gridSpan w:val="2"/>
            <w:tcBorders>
              <w:top w:val="single" w:sz="4" w:space="0" w:color="000000"/>
              <w:left w:val="single" w:sz="4" w:space="0" w:color="000000"/>
              <w:bottom w:val="single" w:sz="4" w:space="0" w:color="000000"/>
              <w:right w:val="single" w:sz="8" w:space="0" w:color="000000"/>
            </w:tcBorders>
          </w:tcPr>
          <w:p w14:paraId="0CFB1379" w14:textId="77777777" w:rsidR="00835FEB" w:rsidRPr="00C4612F" w:rsidRDefault="00835FEB" w:rsidP="008854D9">
            <w:pPr>
              <w:pStyle w:val="Odstavecseseznamem"/>
              <w:spacing w:before="120" w:after="120"/>
              <w:ind w:left="0"/>
              <w:contextualSpacing w:val="0"/>
              <w:jc w:val="both"/>
              <w:rPr>
                <w:sz w:val="22"/>
                <w:szCs w:val="22"/>
              </w:rPr>
            </w:pPr>
            <w:r w:rsidRPr="00C4612F">
              <w:rPr>
                <w:sz w:val="22"/>
                <w:szCs w:val="22"/>
              </w:rPr>
              <w:t xml:space="preserve">EK předložila dne 16. 12. 2025 návrh cílené revize nařízení MDR (zdravotnické prostředky) a IVDR (diagnostické zdravotnické prostředky in vitro), který je součástí širšího „zdravotního balíčku“ zaměřeného na posílení konkurenceschopnosti a odolnosti zdravotních systémů. Hlavním cílem revize je celkové zefektivnění a modernizace regulačního rámce tak, aby se zvýšila dostupnost zdravotnických prostředků na trhu a snížila administrativní zátěž, zejména pro menší výrobce. Revize směřuje k větší proporcionalitě povinností vůči skutečnému riziku výrobků, což zahrnuje snížení </w:t>
            </w:r>
            <w:r w:rsidRPr="00C4612F">
              <w:rPr>
                <w:sz w:val="22"/>
                <w:szCs w:val="22"/>
              </w:rPr>
              <w:lastRenderedPageBreak/>
              <w:t xml:space="preserve">rizikových tříd u vybraných skupin, omezení zapojení oznámených subjektů u méně rizikových prostředků a digitalizaci regulatorních procesů, jako jsou elektronická prohlášení o shodě. </w:t>
            </w:r>
            <w:r w:rsidRPr="00C4612F">
              <w:rPr>
                <w:spacing w:val="5"/>
                <w:sz w:val="22"/>
                <w:szCs w:val="22"/>
              </w:rPr>
              <w:t>Zavádí se mechanismus řešení sporů mezi výrobci a oznámenými subjekty, v jehož rámci orgán odpovědný za oznámené subjekty zajišťuje procesní dohled nad postupem oznámeného subjektu. Revize dále</w:t>
            </w:r>
            <w:r w:rsidRPr="00C4612F">
              <w:rPr>
                <w:sz w:val="22"/>
                <w:szCs w:val="22"/>
              </w:rPr>
              <w:t xml:space="preserve"> uvolňuje pravidla pro klinické důkazy a inovace (včetně zřízení </w:t>
            </w:r>
            <w:proofErr w:type="spellStart"/>
            <w:r w:rsidRPr="00C4612F">
              <w:rPr>
                <w:sz w:val="22"/>
                <w:szCs w:val="22"/>
              </w:rPr>
              <w:t>sandboxů</w:t>
            </w:r>
            <w:proofErr w:type="spellEnd"/>
            <w:r w:rsidRPr="00C4612F">
              <w:rPr>
                <w:sz w:val="22"/>
                <w:szCs w:val="22"/>
              </w:rPr>
              <w:t>) a posiluje odolnost trhu skrze povinné hlášení výpadků dodávek v databázi EUDAMED. V neposlední řadě revize slaďuje požadavky s aktuální legislativou v oblasti umělé inteligence a kybernetické bezpečnosti a podporuje mezinárodní spolupráci pro posílení globální konkurenceschopnosti evropského průmyslu.</w:t>
            </w:r>
          </w:p>
          <w:p w14:paraId="1726BAA3" w14:textId="769BCAF6" w:rsidR="00835FEB" w:rsidRPr="00C4612F" w:rsidRDefault="00835FEB" w:rsidP="008854D9">
            <w:pPr>
              <w:pStyle w:val="Odstavecseseznamem"/>
              <w:spacing w:before="120" w:after="120"/>
              <w:ind w:left="0"/>
              <w:contextualSpacing w:val="0"/>
              <w:jc w:val="both"/>
              <w:rPr>
                <w:spacing w:val="5"/>
                <w:sz w:val="20"/>
                <w:szCs w:val="20"/>
              </w:rPr>
            </w:pPr>
            <w:r w:rsidRPr="00C4612F">
              <w:rPr>
                <w:i/>
                <w:iCs/>
                <w:spacing w:val="5"/>
                <w:sz w:val="22"/>
                <w:szCs w:val="22"/>
              </w:rPr>
              <w:t>EK představila návrh nařízení na jednání PS I.4 (PS pro léky a zdravotnické prostředky</w:t>
            </w:r>
            <w:r w:rsidR="00C4612F" w:rsidRPr="00C4612F">
              <w:rPr>
                <w:i/>
                <w:iCs/>
                <w:spacing w:val="5"/>
                <w:sz w:val="22"/>
                <w:szCs w:val="22"/>
              </w:rPr>
              <w:t xml:space="preserve"> – PSLZP)</w:t>
            </w:r>
            <w:r w:rsidRPr="00C4612F">
              <w:rPr>
                <w:i/>
                <w:iCs/>
                <w:spacing w:val="5"/>
                <w:sz w:val="22"/>
                <w:szCs w:val="22"/>
              </w:rPr>
              <w:t xml:space="preserve"> dne 14. 1. 2026. Během února a března se diskuse soustředila na hodnocení dopadů a nákladové studie, přičemž Komise rozptylovala obavy členských států ohledně bezpečnosti pacientů a zdůraznila posílení odpovědnosti oznámených subjektů. </w:t>
            </w:r>
            <w:r w:rsidR="00C4612F" w:rsidRPr="00BA7048">
              <w:rPr>
                <w:rFonts w:eastAsiaTheme="minorHAnsi"/>
                <w:i/>
                <w:iCs/>
                <w:sz w:val="22"/>
                <w:szCs w:val="22"/>
                <w:lang w:eastAsia="en-US"/>
              </w:rPr>
              <w:t>Substantivní projednávání návrhu nařízení bylo zahájeno na jednání PSLZP dne 23. března 2026</w:t>
            </w:r>
            <w:r w:rsidR="00C4612F" w:rsidRPr="00BA7048">
              <w:rPr>
                <w:rFonts w:eastAsiaTheme="minorHAnsi"/>
                <w:i/>
                <w:iCs/>
                <w:sz w:val="20"/>
                <w:szCs w:val="20"/>
                <w:lang w:eastAsia="en-US"/>
              </w:rPr>
              <w:t xml:space="preserve">. </w:t>
            </w:r>
            <w:r w:rsidR="00C4612F" w:rsidRPr="00BA7048">
              <w:rPr>
                <w:rFonts w:eastAsiaTheme="minorHAnsi"/>
                <w:i/>
                <w:iCs/>
                <w:sz w:val="22"/>
                <w:szCs w:val="22"/>
                <w:lang w:eastAsia="en-US"/>
              </w:rPr>
              <w:t>CY PRES rozdělilo jednotlivé části nařízení do tzv. šesti clusterů, které jsou postupně projednávány na dílčích zasedáních PSLZP</w:t>
            </w:r>
            <w:r w:rsidR="00C4612F" w:rsidRPr="00C4612F">
              <w:rPr>
                <w:rFonts w:eastAsiaTheme="minorHAnsi"/>
                <w:i/>
                <w:iCs/>
                <w:sz w:val="22"/>
                <w:szCs w:val="22"/>
                <w:lang w:eastAsia="en-US"/>
              </w:rPr>
              <w:t>.</w:t>
            </w:r>
          </w:p>
        </w:tc>
      </w:tr>
    </w:tbl>
    <w:p w14:paraId="2597862D" w14:textId="2F6EF88B" w:rsidR="007D78E5" w:rsidRPr="00B817C7" w:rsidRDefault="007D78E5" w:rsidP="005F4AEB">
      <w:pPr>
        <w:spacing w:after="0" w:line="240" w:lineRule="auto"/>
        <w:rPr>
          <w:rStyle w:val="Siln"/>
          <w:rFonts w:ascii="Times New Roman" w:eastAsiaTheme="majorEastAsia" w:hAnsi="Times New Roman" w:cs="Times New Roman"/>
          <w:b w:val="0"/>
          <w:bCs w:val="0"/>
          <w:u w:val="single"/>
          <w:lang w:eastAsia="cs-CZ"/>
        </w:rPr>
      </w:pPr>
    </w:p>
    <w:sectPr w:rsidR="007D78E5" w:rsidRPr="00B817C7" w:rsidSect="00711EE5">
      <w:foot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978D" w14:textId="77777777" w:rsidR="00F2600D" w:rsidRPr="00F47881" w:rsidRDefault="00F2600D" w:rsidP="00671A90">
      <w:pPr>
        <w:spacing w:after="0" w:line="240" w:lineRule="auto"/>
      </w:pPr>
      <w:r w:rsidRPr="00F47881">
        <w:separator/>
      </w:r>
    </w:p>
  </w:endnote>
  <w:endnote w:type="continuationSeparator" w:id="0">
    <w:p w14:paraId="2B842F89" w14:textId="77777777" w:rsidR="00F2600D" w:rsidRPr="00F47881" w:rsidRDefault="00F2600D" w:rsidP="00671A90">
      <w:pPr>
        <w:spacing w:after="0" w:line="240" w:lineRule="auto"/>
      </w:pPr>
      <w:r w:rsidRPr="00F47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635"/>
      <w:docPartObj>
        <w:docPartGallery w:val="Page Numbers (Bottom of Page)"/>
        <w:docPartUnique/>
      </w:docPartObj>
    </w:sdtPr>
    <w:sdtContent>
      <w:p w14:paraId="73096676" w14:textId="1AECD59F" w:rsidR="007C1983" w:rsidRDefault="007C1983">
        <w:pPr>
          <w:pStyle w:val="Zpat"/>
          <w:jc w:val="center"/>
        </w:pPr>
        <w:r>
          <w:fldChar w:fldCharType="begin"/>
        </w:r>
        <w:r>
          <w:instrText>PAGE   \* MERGEFORMAT</w:instrText>
        </w:r>
        <w:r>
          <w:fldChar w:fldCharType="separate"/>
        </w:r>
        <w:r>
          <w:t>2</w:t>
        </w:r>
        <w:r>
          <w:fldChar w:fldCharType="end"/>
        </w:r>
      </w:p>
    </w:sdtContent>
  </w:sdt>
  <w:p w14:paraId="771D0EED" w14:textId="77777777" w:rsidR="007C1983" w:rsidRDefault="007C1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CFF0" w14:textId="77777777" w:rsidR="00F2600D" w:rsidRPr="00F47881" w:rsidRDefault="00F2600D" w:rsidP="00671A90">
      <w:pPr>
        <w:spacing w:after="0" w:line="240" w:lineRule="auto"/>
      </w:pPr>
      <w:r w:rsidRPr="00F47881">
        <w:separator/>
      </w:r>
    </w:p>
  </w:footnote>
  <w:footnote w:type="continuationSeparator" w:id="0">
    <w:p w14:paraId="57B9999A" w14:textId="77777777" w:rsidR="00F2600D" w:rsidRPr="00F47881" w:rsidRDefault="00F2600D" w:rsidP="00671A90">
      <w:pPr>
        <w:spacing w:after="0" w:line="240" w:lineRule="auto"/>
      </w:pPr>
      <w:r w:rsidRPr="00F478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121"/>
    <w:multiLevelType w:val="hybridMultilevel"/>
    <w:tmpl w:val="CC347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4D161A"/>
    <w:multiLevelType w:val="hybridMultilevel"/>
    <w:tmpl w:val="CA743C78"/>
    <w:lvl w:ilvl="0" w:tplc="FCC49E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93505"/>
    <w:multiLevelType w:val="hybridMultilevel"/>
    <w:tmpl w:val="6E4A7140"/>
    <w:lvl w:ilvl="0" w:tplc="B9CE91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503938"/>
    <w:multiLevelType w:val="hybridMultilevel"/>
    <w:tmpl w:val="11D68F80"/>
    <w:lvl w:ilvl="0" w:tplc="225EFB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BB36D5"/>
    <w:multiLevelType w:val="hybridMultilevel"/>
    <w:tmpl w:val="F1366336"/>
    <w:lvl w:ilvl="0" w:tplc="8AE63F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EA092B"/>
    <w:multiLevelType w:val="hybridMultilevel"/>
    <w:tmpl w:val="C71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F73CE7"/>
    <w:multiLevelType w:val="hybridMultilevel"/>
    <w:tmpl w:val="6A8A9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183E37"/>
    <w:multiLevelType w:val="multilevel"/>
    <w:tmpl w:val="111A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204FD"/>
    <w:multiLevelType w:val="multilevel"/>
    <w:tmpl w:val="185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66812">
    <w:abstractNumId w:val="8"/>
  </w:num>
  <w:num w:numId="2" w16cid:durableId="1906604990">
    <w:abstractNumId w:val="7"/>
  </w:num>
  <w:num w:numId="3" w16cid:durableId="1829126413">
    <w:abstractNumId w:val="5"/>
  </w:num>
  <w:num w:numId="4" w16cid:durableId="110517551">
    <w:abstractNumId w:val="6"/>
  </w:num>
  <w:num w:numId="5" w16cid:durableId="2005552624">
    <w:abstractNumId w:val="2"/>
  </w:num>
  <w:num w:numId="6" w16cid:durableId="1495412122">
    <w:abstractNumId w:val="0"/>
  </w:num>
  <w:num w:numId="7" w16cid:durableId="1285889462">
    <w:abstractNumId w:val="1"/>
  </w:num>
  <w:num w:numId="8" w16cid:durableId="1458796145">
    <w:abstractNumId w:val="3"/>
  </w:num>
  <w:num w:numId="9" w16cid:durableId="195312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7"/>
    <w:rsid w:val="00006B93"/>
    <w:rsid w:val="00006FB7"/>
    <w:rsid w:val="00013883"/>
    <w:rsid w:val="000149E4"/>
    <w:rsid w:val="0002074D"/>
    <w:rsid w:val="000214CF"/>
    <w:rsid w:val="000262B0"/>
    <w:rsid w:val="00036213"/>
    <w:rsid w:val="0003717B"/>
    <w:rsid w:val="0004687F"/>
    <w:rsid w:val="00047425"/>
    <w:rsid w:val="00073143"/>
    <w:rsid w:val="000761CC"/>
    <w:rsid w:val="00082258"/>
    <w:rsid w:val="00084DEB"/>
    <w:rsid w:val="00092523"/>
    <w:rsid w:val="000B155E"/>
    <w:rsid w:val="000B4372"/>
    <w:rsid w:val="000B52CD"/>
    <w:rsid w:val="000C47E3"/>
    <w:rsid w:val="000D2D3B"/>
    <w:rsid w:val="000D6DCA"/>
    <w:rsid w:val="000E7087"/>
    <w:rsid w:val="000F6C41"/>
    <w:rsid w:val="000F7AA8"/>
    <w:rsid w:val="001062A8"/>
    <w:rsid w:val="00107821"/>
    <w:rsid w:val="00110449"/>
    <w:rsid w:val="00111ACD"/>
    <w:rsid w:val="00122F3C"/>
    <w:rsid w:val="00130476"/>
    <w:rsid w:val="0013151F"/>
    <w:rsid w:val="00133885"/>
    <w:rsid w:val="00144009"/>
    <w:rsid w:val="00155A5D"/>
    <w:rsid w:val="00157603"/>
    <w:rsid w:val="00167A4C"/>
    <w:rsid w:val="00173334"/>
    <w:rsid w:val="0018512D"/>
    <w:rsid w:val="00186256"/>
    <w:rsid w:val="00190B25"/>
    <w:rsid w:val="00190D80"/>
    <w:rsid w:val="001910A1"/>
    <w:rsid w:val="001934B2"/>
    <w:rsid w:val="001A0D7E"/>
    <w:rsid w:val="001A287E"/>
    <w:rsid w:val="001B0387"/>
    <w:rsid w:val="001C4736"/>
    <w:rsid w:val="001C6188"/>
    <w:rsid w:val="001D17CD"/>
    <w:rsid w:val="001D1CFA"/>
    <w:rsid w:val="001D5677"/>
    <w:rsid w:val="001E1DB8"/>
    <w:rsid w:val="001E3815"/>
    <w:rsid w:val="001E3E29"/>
    <w:rsid w:val="001E49C1"/>
    <w:rsid w:val="001E4C4E"/>
    <w:rsid w:val="00200AAC"/>
    <w:rsid w:val="00200DC5"/>
    <w:rsid w:val="002101BF"/>
    <w:rsid w:val="002103EE"/>
    <w:rsid w:val="00210E21"/>
    <w:rsid w:val="002119C0"/>
    <w:rsid w:val="002131C0"/>
    <w:rsid w:val="00216A30"/>
    <w:rsid w:val="002241FB"/>
    <w:rsid w:val="00225B03"/>
    <w:rsid w:val="00226DA2"/>
    <w:rsid w:val="00231E8A"/>
    <w:rsid w:val="002344CC"/>
    <w:rsid w:val="002406A4"/>
    <w:rsid w:val="002421A2"/>
    <w:rsid w:val="002433A1"/>
    <w:rsid w:val="00247576"/>
    <w:rsid w:val="0025389B"/>
    <w:rsid w:val="00256083"/>
    <w:rsid w:val="00264BD0"/>
    <w:rsid w:val="00267562"/>
    <w:rsid w:val="00270D2E"/>
    <w:rsid w:val="00275199"/>
    <w:rsid w:val="0027721B"/>
    <w:rsid w:val="00280758"/>
    <w:rsid w:val="002A4AC9"/>
    <w:rsid w:val="002F0E1B"/>
    <w:rsid w:val="002F33AC"/>
    <w:rsid w:val="002F386F"/>
    <w:rsid w:val="00301CD6"/>
    <w:rsid w:val="0030455E"/>
    <w:rsid w:val="0030597F"/>
    <w:rsid w:val="00306F0C"/>
    <w:rsid w:val="00310C7D"/>
    <w:rsid w:val="00312DA5"/>
    <w:rsid w:val="00315018"/>
    <w:rsid w:val="003200B0"/>
    <w:rsid w:val="00323B55"/>
    <w:rsid w:val="00324DDA"/>
    <w:rsid w:val="00326663"/>
    <w:rsid w:val="00334D35"/>
    <w:rsid w:val="00334F0E"/>
    <w:rsid w:val="00335576"/>
    <w:rsid w:val="00336C6E"/>
    <w:rsid w:val="003478BC"/>
    <w:rsid w:val="0035734A"/>
    <w:rsid w:val="00361FEC"/>
    <w:rsid w:val="0036213A"/>
    <w:rsid w:val="00363139"/>
    <w:rsid w:val="00373D62"/>
    <w:rsid w:val="00374945"/>
    <w:rsid w:val="00381F7B"/>
    <w:rsid w:val="00384AF5"/>
    <w:rsid w:val="00385BEC"/>
    <w:rsid w:val="00386AAE"/>
    <w:rsid w:val="00387A69"/>
    <w:rsid w:val="003B175E"/>
    <w:rsid w:val="003B3B37"/>
    <w:rsid w:val="003C1DC6"/>
    <w:rsid w:val="003C334D"/>
    <w:rsid w:val="003D6FE1"/>
    <w:rsid w:val="003E359A"/>
    <w:rsid w:val="003F0FD5"/>
    <w:rsid w:val="00400D9E"/>
    <w:rsid w:val="00404EE8"/>
    <w:rsid w:val="00411330"/>
    <w:rsid w:val="00423506"/>
    <w:rsid w:val="00427688"/>
    <w:rsid w:val="00427E75"/>
    <w:rsid w:val="00440162"/>
    <w:rsid w:val="004441BB"/>
    <w:rsid w:val="0044674E"/>
    <w:rsid w:val="00450BAD"/>
    <w:rsid w:val="00453B64"/>
    <w:rsid w:val="00454000"/>
    <w:rsid w:val="004549E4"/>
    <w:rsid w:val="004554D9"/>
    <w:rsid w:val="004658A6"/>
    <w:rsid w:val="00474494"/>
    <w:rsid w:val="00481702"/>
    <w:rsid w:val="00491916"/>
    <w:rsid w:val="00494275"/>
    <w:rsid w:val="00494A27"/>
    <w:rsid w:val="004A1E50"/>
    <w:rsid w:val="004A2182"/>
    <w:rsid w:val="004A40A9"/>
    <w:rsid w:val="004A63F4"/>
    <w:rsid w:val="004B2D7F"/>
    <w:rsid w:val="004B4FDB"/>
    <w:rsid w:val="004B6FCB"/>
    <w:rsid w:val="004C5A8B"/>
    <w:rsid w:val="004D2241"/>
    <w:rsid w:val="004D2E75"/>
    <w:rsid w:val="004D35E1"/>
    <w:rsid w:val="004D40AE"/>
    <w:rsid w:val="004D727C"/>
    <w:rsid w:val="004E7022"/>
    <w:rsid w:val="004F5858"/>
    <w:rsid w:val="005021D5"/>
    <w:rsid w:val="005054BA"/>
    <w:rsid w:val="00515075"/>
    <w:rsid w:val="00517636"/>
    <w:rsid w:val="00526B50"/>
    <w:rsid w:val="00535B6C"/>
    <w:rsid w:val="0054094A"/>
    <w:rsid w:val="00545A38"/>
    <w:rsid w:val="00555389"/>
    <w:rsid w:val="0055618E"/>
    <w:rsid w:val="00570754"/>
    <w:rsid w:val="005707DD"/>
    <w:rsid w:val="00572261"/>
    <w:rsid w:val="005765CC"/>
    <w:rsid w:val="00592571"/>
    <w:rsid w:val="00597D0B"/>
    <w:rsid w:val="005B1742"/>
    <w:rsid w:val="005B556B"/>
    <w:rsid w:val="005D1597"/>
    <w:rsid w:val="005E0CE5"/>
    <w:rsid w:val="005E39E1"/>
    <w:rsid w:val="005F4AEB"/>
    <w:rsid w:val="00602681"/>
    <w:rsid w:val="00604BE8"/>
    <w:rsid w:val="00622A39"/>
    <w:rsid w:val="00634124"/>
    <w:rsid w:val="006378A4"/>
    <w:rsid w:val="00644169"/>
    <w:rsid w:val="0064462F"/>
    <w:rsid w:val="006472ED"/>
    <w:rsid w:val="00651892"/>
    <w:rsid w:val="00671A90"/>
    <w:rsid w:val="00675E18"/>
    <w:rsid w:val="00677344"/>
    <w:rsid w:val="0067793D"/>
    <w:rsid w:val="00683549"/>
    <w:rsid w:val="00687072"/>
    <w:rsid w:val="006A167C"/>
    <w:rsid w:val="006A3B52"/>
    <w:rsid w:val="006A5248"/>
    <w:rsid w:val="006A702B"/>
    <w:rsid w:val="006B3578"/>
    <w:rsid w:val="006B3F9D"/>
    <w:rsid w:val="006B58EF"/>
    <w:rsid w:val="006C4649"/>
    <w:rsid w:val="006C59AC"/>
    <w:rsid w:val="006D793E"/>
    <w:rsid w:val="006E3E8B"/>
    <w:rsid w:val="006E74D3"/>
    <w:rsid w:val="006F34CA"/>
    <w:rsid w:val="006F435F"/>
    <w:rsid w:val="006F730E"/>
    <w:rsid w:val="00700914"/>
    <w:rsid w:val="00702D41"/>
    <w:rsid w:val="007030AD"/>
    <w:rsid w:val="00706CC0"/>
    <w:rsid w:val="007108AF"/>
    <w:rsid w:val="007114DE"/>
    <w:rsid w:val="00711EE5"/>
    <w:rsid w:val="00717836"/>
    <w:rsid w:val="00720F9F"/>
    <w:rsid w:val="00732B65"/>
    <w:rsid w:val="0074094B"/>
    <w:rsid w:val="00743FE8"/>
    <w:rsid w:val="00767E48"/>
    <w:rsid w:val="00770BCD"/>
    <w:rsid w:val="00772A88"/>
    <w:rsid w:val="00781155"/>
    <w:rsid w:val="00782A46"/>
    <w:rsid w:val="00783307"/>
    <w:rsid w:val="007920E1"/>
    <w:rsid w:val="007A2FA5"/>
    <w:rsid w:val="007A52D9"/>
    <w:rsid w:val="007B1C97"/>
    <w:rsid w:val="007B535C"/>
    <w:rsid w:val="007B6D1D"/>
    <w:rsid w:val="007B6F4D"/>
    <w:rsid w:val="007C1983"/>
    <w:rsid w:val="007C215D"/>
    <w:rsid w:val="007C6C12"/>
    <w:rsid w:val="007D03A1"/>
    <w:rsid w:val="007D78E5"/>
    <w:rsid w:val="007E0757"/>
    <w:rsid w:val="007E27DE"/>
    <w:rsid w:val="007E5881"/>
    <w:rsid w:val="007E7C72"/>
    <w:rsid w:val="007F3E05"/>
    <w:rsid w:val="007F3E8A"/>
    <w:rsid w:val="007F4B49"/>
    <w:rsid w:val="007F61B9"/>
    <w:rsid w:val="007F7D28"/>
    <w:rsid w:val="008068D8"/>
    <w:rsid w:val="00831B17"/>
    <w:rsid w:val="00835FEB"/>
    <w:rsid w:val="00840121"/>
    <w:rsid w:val="00846977"/>
    <w:rsid w:val="00846A36"/>
    <w:rsid w:val="00862950"/>
    <w:rsid w:val="00877225"/>
    <w:rsid w:val="00883871"/>
    <w:rsid w:val="00887558"/>
    <w:rsid w:val="00897E6F"/>
    <w:rsid w:val="008A13DC"/>
    <w:rsid w:val="008A5E41"/>
    <w:rsid w:val="008A6A5C"/>
    <w:rsid w:val="008B07D0"/>
    <w:rsid w:val="008B2681"/>
    <w:rsid w:val="008B2B6D"/>
    <w:rsid w:val="008B2BA4"/>
    <w:rsid w:val="008C0389"/>
    <w:rsid w:val="008C3A01"/>
    <w:rsid w:val="008D1C44"/>
    <w:rsid w:val="008D203F"/>
    <w:rsid w:val="008D6FD5"/>
    <w:rsid w:val="008E4EBC"/>
    <w:rsid w:val="008E62DF"/>
    <w:rsid w:val="008E64C5"/>
    <w:rsid w:val="008E6D3F"/>
    <w:rsid w:val="008E7C95"/>
    <w:rsid w:val="008E7E52"/>
    <w:rsid w:val="008F2659"/>
    <w:rsid w:val="008F2F48"/>
    <w:rsid w:val="00903BEA"/>
    <w:rsid w:val="00904F35"/>
    <w:rsid w:val="009103A0"/>
    <w:rsid w:val="0091164E"/>
    <w:rsid w:val="00912CEE"/>
    <w:rsid w:val="00915382"/>
    <w:rsid w:val="00915492"/>
    <w:rsid w:val="0092302A"/>
    <w:rsid w:val="0093519A"/>
    <w:rsid w:val="009373B6"/>
    <w:rsid w:val="009403F4"/>
    <w:rsid w:val="009461FF"/>
    <w:rsid w:val="00961F49"/>
    <w:rsid w:val="00965CB9"/>
    <w:rsid w:val="00971EA3"/>
    <w:rsid w:val="0097286A"/>
    <w:rsid w:val="00973413"/>
    <w:rsid w:val="00975E6C"/>
    <w:rsid w:val="009807C6"/>
    <w:rsid w:val="009828D9"/>
    <w:rsid w:val="00982EC5"/>
    <w:rsid w:val="00986033"/>
    <w:rsid w:val="00991E03"/>
    <w:rsid w:val="00995D36"/>
    <w:rsid w:val="009A11FE"/>
    <w:rsid w:val="009A2D1B"/>
    <w:rsid w:val="009A3242"/>
    <w:rsid w:val="009B1066"/>
    <w:rsid w:val="009B6622"/>
    <w:rsid w:val="009D2DB9"/>
    <w:rsid w:val="009E7FC9"/>
    <w:rsid w:val="009F1927"/>
    <w:rsid w:val="009F6C2B"/>
    <w:rsid w:val="00A07487"/>
    <w:rsid w:val="00A116D3"/>
    <w:rsid w:val="00A12C3C"/>
    <w:rsid w:val="00A2146A"/>
    <w:rsid w:val="00A62519"/>
    <w:rsid w:val="00A636EC"/>
    <w:rsid w:val="00A63C71"/>
    <w:rsid w:val="00A71660"/>
    <w:rsid w:val="00A72BA4"/>
    <w:rsid w:val="00A746E2"/>
    <w:rsid w:val="00A76C6B"/>
    <w:rsid w:val="00A7735D"/>
    <w:rsid w:val="00A8093A"/>
    <w:rsid w:val="00A8248C"/>
    <w:rsid w:val="00A97494"/>
    <w:rsid w:val="00AA16EC"/>
    <w:rsid w:val="00AA1D9D"/>
    <w:rsid w:val="00AA5C7C"/>
    <w:rsid w:val="00AB41F7"/>
    <w:rsid w:val="00AB449C"/>
    <w:rsid w:val="00AB5AD4"/>
    <w:rsid w:val="00AC23AB"/>
    <w:rsid w:val="00AC4B08"/>
    <w:rsid w:val="00AD3DC2"/>
    <w:rsid w:val="00AD7385"/>
    <w:rsid w:val="00AD788E"/>
    <w:rsid w:val="00AE0B53"/>
    <w:rsid w:val="00AE4DCC"/>
    <w:rsid w:val="00AF1FF4"/>
    <w:rsid w:val="00AF6798"/>
    <w:rsid w:val="00B025A4"/>
    <w:rsid w:val="00B14594"/>
    <w:rsid w:val="00B17025"/>
    <w:rsid w:val="00B20C56"/>
    <w:rsid w:val="00B32563"/>
    <w:rsid w:val="00B33701"/>
    <w:rsid w:val="00B342D0"/>
    <w:rsid w:val="00B46237"/>
    <w:rsid w:val="00B46314"/>
    <w:rsid w:val="00B53258"/>
    <w:rsid w:val="00B56CDD"/>
    <w:rsid w:val="00B5705C"/>
    <w:rsid w:val="00B65F9A"/>
    <w:rsid w:val="00B817C7"/>
    <w:rsid w:val="00B872A5"/>
    <w:rsid w:val="00B95955"/>
    <w:rsid w:val="00B96FE0"/>
    <w:rsid w:val="00BA7048"/>
    <w:rsid w:val="00BB010C"/>
    <w:rsid w:val="00BB0B91"/>
    <w:rsid w:val="00BC0F6A"/>
    <w:rsid w:val="00BC180B"/>
    <w:rsid w:val="00BC2B1D"/>
    <w:rsid w:val="00BC4DAA"/>
    <w:rsid w:val="00BD32AA"/>
    <w:rsid w:val="00BD3BCB"/>
    <w:rsid w:val="00BD7B56"/>
    <w:rsid w:val="00BE1E7F"/>
    <w:rsid w:val="00BE58D7"/>
    <w:rsid w:val="00BE7012"/>
    <w:rsid w:val="00BF1E20"/>
    <w:rsid w:val="00C01E7F"/>
    <w:rsid w:val="00C02C78"/>
    <w:rsid w:val="00C07EB9"/>
    <w:rsid w:val="00C11D0C"/>
    <w:rsid w:val="00C1780F"/>
    <w:rsid w:val="00C26B2D"/>
    <w:rsid w:val="00C31A64"/>
    <w:rsid w:val="00C34210"/>
    <w:rsid w:val="00C40088"/>
    <w:rsid w:val="00C4612F"/>
    <w:rsid w:val="00C52AE4"/>
    <w:rsid w:val="00C55F1A"/>
    <w:rsid w:val="00C60D7F"/>
    <w:rsid w:val="00C60FF9"/>
    <w:rsid w:val="00C7231C"/>
    <w:rsid w:val="00C77322"/>
    <w:rsid w:val="00C84E7E"/>
    <w:rsid w:val="00C8523D"/>
    <w:rsid w:val="00C92F2C"/>
    <w:rsid w:val="00C93D94"/>
    <w:rsid w:val="00CA4EBF"/>
    <w:rsid w:val="00CB0286"/>
    <w:rsid w:val="00CB6F66"/>
    <w:rsid w:val="00CC30F7"/>
    <w:rsid w:val="00CC6F5D"/>
    <w:rsid w:val="00CC7551"/>
    <w:rsid w:val="00CC7A75"/>
    <w:rsid w:val="00CD0106"/>
    <w:rsid w:val="00CD03D7"/>
    <w:rsid w:val="00CD1894"/>
    <w:rsid w:val="00CD2170"/>
    <w:rsid w:val="00CF3CBE"/>
    <w:rsid w:val="00CF61EC"/>
    <w:rsid w:val="00CF68EC"/>
    <w:rsid w:val="00CF6EBF"/>
    <w:rsid w:val="00D0427D"/>
    <w:rsid w:val="00D0768D"/>
    <w:rsid w:val="00D1306B"/>
    <w:rsid w:val="00D14770"/>
    <w:rsid w:val="00D17DAF"/>
    <w:rsid w:val="00D2060A"/>
    <w:rsid w:val="00D25B9F"/>
    <w:rsid w:val="00D27C77"/>
    <w:rsid w:val="00D3093B"/>
    <w:rsid w:val="00D32282"/>
    <w:rsid w:val="00D377DA"/>
    <w:rsid w:val="00D40572"/>
    <w:rsid w:val="00D412B7"/>
    <w:rsid w:val="00D41888"/>
    <w:rsid w:val="00D46331"/>
    <w:rsid w:val="00D47685"/>
    <w:rsid w:val="00D55B3A"/>
    <w:rsid w:val="00D65774"/>
    <w:rsid w:val="00D677A3"/>
    <w:rsid w:val="00D71B96"/>
    <w:rsid w:val="00D72163"/>
    <w:rsid w:val="00D80993"/>
    <w:rsid w:val="00D811BF"/>
    <w:rsid w:val="00D81833"/>
    <w:rsid w:val="00D81B3B"/>
    <w:rsid w:val="00D91E04"/>
    <w:rsid w:val="00D92F42"/>
    <w:rsid w:val="00D94007"/>
    <w:rsid w:val="00D946E7"/>
    <w:rsid w:val="00DA10A2"/>
    <w:rsid w:val="00DA3E64"/>
    <w:rsid w:val="00DA5E92"/>
    <w:rsid w:val="00DA6007"/>
    <w:rsid w:val="00DA7C3F"/>
    <w:rsid w:val="00DC75C2"/>
    <w:rsid w:val="00DD3E43"/>
    <w:rsid w:val="00E01AA3"/>
    <w:rsid w:val="00E04090"/>
    <w:rsid w:val="00E051C6"/>
    <w:rsid w:val="00E06F19"/>
    <w:rsid w:val="00E074B4"/>
    <w:rsid w:val="00E1505E"/>
    <w:rsid w:val="00E2120F"/>
    <w:rsid w:val="00E341DB"/>
    <w:rsid w:val="00E342AB"/>
    <w:rsid w:val="00E36040"/>
    <w:rsid w:val="00E536F2"/>
    <w:rsid w:val="00EA0C18"/>
    <w:rsid w:val="00EA277F"/>
    <w:rsid w:val="00EA345A"/>
    <w:rsid w:val="00EA6A2C"/>
    <w:rsid w:val="00EC2DF5"/>
    <w:rsid w:val="00EC79E0"/>
    <w:rsid w:val="00ED0BBF"/>
    <w:rsid w:val="00EE5AFD"/>
    <w:rsid w:val="00EE6D12"/>
    <w:rsid w:val="00EF13A8"/>
    <w:rsid w:val="00F03F4C"/>
    <w:rsid w:val="00F0445B"/>
    <w:rsid w:val="00F046FB"/>
    <w:rsid w:val="00F078A3"/>
    <w:rsid w:val="00F13DBE"/>
    <w:rsid w:val="00F141D9"/>
    <w:rsid w:val="00F16C70"/>
    <w:rsid w:val="00F17EAA"/>
    <w:rsid w:val="00F2600D"/>
    <w:rsid w:val="00F34EC7"/>
    <w:rsid w:val="00F35A5E"/>
    <w:rsid w:val="00F4217F"/>
    <w:rsid w:val="00F44A12"/>
    <w:rsid w:val="00F44B7B"/>
    <w:rsid w:val="00F47881"/>
    <w:rsid w:val="00F53753"/>
    <w:rsid w:val="00F61CC9"/>
    <w:rsid w:val="00F631E4"/>
    <w:rsid w:val="00F671FD"/>
    <w:rsid w:val="00F80AAD"/>
    <w:rsid w:val="00F80DE2"/>
    <w:rsid w:val="00F87AA9"/>
    <w:rsid w:val="00F90FCA"/>
    <w:rsid w:val="00F91DC2"/>
    <w:rsid w:val="00F97FC3"/>
    <w:rsid w:val="00FA206C"/>
    <w:rsid w:val="00FB6A87"/>
    <w:rsid w:val="00FC09EC"/>
    <w:rsid w:val="00FC1830"/>
    <w:rsid w:val="00FC3825"/>
    <w:rsid w:val="00FD6930"/>
    <w:rsid w:val="00FE4159"/>
    <w:rsid w:val="00FF0AD4"/>
    <w:rsid w:val="00FF102F"/>
    <w:rsid w:val="00FF1DBD"/>
    <w:rsid w:val="00FF4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26CB"/>
  <w15:chartTrackingRefBased/>
  <w15:docId w15:val="{AEA8D64D-DC6B-42DF-8BA9-936DCC24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275"/>
  </w:style>
  <w:style w:type="paragraph" w:styleId="Nadpis1">
    <w:name w:val="heading 1"/>
    <w:basedOn w:val="Normln"/>
    <w:link w:val="Nadpis1Char"/>
    <w:uiPriority w:val="9"/>
    <w:qFormat/>
    <w:rsid w:val="00CC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835F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CC30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30F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CC30F7"/>
    <w:rPr>
      <w:color w:val="0000FF"/>
      <w:u w:val="single"/>
    </w:rPr>
  </w:style>
  <w:style w:type="character" w:customStyle="1" w:styleId="Nadpis4Char">
    <w:name w:val="Nadpis 4 Char"/>
    <w:basedOn w:val="Standardnpsmoodstavce"/>
    <w:link w:val="Nadpis4"/>
    <w:uiPriority w:val="9"/>
    <w:semiHidden/>
    <w:rsid w:val="00CC30F7"/>
    <w:rPr>
      <w:rFonts w:asciiTheme="majorHAnsi" w:eastAsiaTheme="majorEastAsia" w:hAnsiTheme="majorHAnsi" w:cstheme="majorBidi"/>
      <w:i/>
      <w:iCs/>
      <w:color w:val="2F5496" w:themeColor="accent1" w:themeShade="BF"/>
    </w:rPr>
  </w:style>
  <w:style w:type="character" w:styleId="Siln">
    <w:name w:val="Strong"/>
    <w:basedOn w:val="Standardnpsmoodstavce"/>
    <w:uiPriority w:val="22"/>
    <w:qFormat/>
    <w:rsid w:val="00CC30F7"/>
    <w:rPr>
      <w:b/>
      <w:bCs/>
    </w:rPr>
  </w:style>
  <w:style w:type="character" w:customStyle="1" w:styleId="vyskyt">
    <w:name w:val="vyskyt"/>
    <w:basedOn w:val="Standardnpsmoodstavce"/>
    <w:rsid w:val="00CC30F7"/>
  </w:style>
  <w:style w:type="paragraph" w:styleId="Normlnweb">
    <w:name w:val="Normal (Web)"/>
    <w:basedOn w:val="Normln"/>
    <w:uiPriority w:val="99"/>
    <w:unhideWhenUsed/>
    <w:rsid w:val="00CC30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30F7"/>
    <w:rPr>
      <w:sz w:val="16"/>
      <w:szCs w:val="16"/>
    </w:rPr>
  </w:style>
  <w:style w:type="paragraph" w:styleId="Textkomente">
    <w:name w:val="annotation text"/>
    <w:basedOn w:val="Normln"/>
    <w:link w:val="TextkomenteChar"/>
    <w:uiPriority w:val="99"/>
    <w:unhideWhenUsed/>
    <w:rsid w:val="00CC30F7"/>
    <w:pPr>
      <w:spacing w:line="240" w:lineRule="auto"/>
    </w:pPr>
    <w:rPr>
      <w:sz w:val="20"/>
      <w:szCs w:val="20"/>
    </w:rPr>
  </w:style>
  <w:style w:type="character" w:customStyle="1" w:styleId="TextkomenteChar">
    <w:name w:val="Text komentáře Char"/>
    <w:basedOn w:val="Standardnpsmoodstavce"/>
    <w:link w:val="Textkomente"/>
    <w:uiPriority w:val="99"/>
    <w:rsid w:val="00CC30F7"/>
    <w:rPr>
      <w:sz w:val="20"/>
      <w:szCs w:val="20"/>
    </w:rPr>
  </w:style>
  <w:style w:type="character" w:styleId="Sledovanodkaz">
    <w:name w:val="FollowedHyperlink"/>
    <w:basedOn w:val="Standardnpsmoodstavce"/>
    <w:uiPriority w:val="99"/>
    <w:semiHidden/>
    <w:unhideWhenUsed/>
    <w:rsid w:val="00CC30F7"/>
    <w:rPr>
      <w:color w:val="954F72" w:themeColor="followedHyperlink"/>
      <w:u w:val="single"/>
    </w:rPr>
  </w:style>
  <w:style w:type="character" w:styleId="Nevyeenzmnka">
    <w:name w:val="Unresolved Mention"/>
    <w:basedOn w:val="Standardnpsmoodstavce"/>
    <w:uiPriority w:val="99"/>
    <w:semiHidden/>
    <w:unhideWhenUsed/>
    <w:rsid w:val="00CC30F7"/>
    <w:rPr>
      <w:color w:val="605E5C"/>
      <w:shd w:val="clear" w:color="auto" w:fill="E1DFDD"/>
    </w:rPr>
  </w:style>
  <w:style w:type="character" w:customStyle="1" w:styleId="normaltextrun">
    <w:name w:val="normaltextrun"/>
    <w:basedOn w:val="Standardnpsmoodstavce"/>
    <w:rsid w:val="00AA1D9D"/>
  </w:style>
  <w:style w:type="character" w:customStyle="1" w:styleId="eop">
    <w:name w:val="eop"/>
    <w:basedOn w:val="Standardnpsmoodstavce"/>
    <w:rsid w:val="00AA1D9D"/>
  </w:style>
  <w:style w:type="paragraph" w:styleId="Pedmtkomente">
    <w:name w:val="annotation subject"/>
    <w:basedOn w:val="Textkomente"/>
    <w:next w:val="Textkomente"/>
    <w:link w:val="PedmtkomenteChar"/>
    <w:uiPriority w:val="99"/>
    <w:semiHidden/>
    <w:unhideWhenUsed/>
    <w:rsid w:val="00AA1D9D"/>
    <w:rPr>
      <w:b/>
      <w:bCs/>
    </w:rPr>
  </w:style>
  <w:style w:type="character" w:customStyle="1" w:styleId="PedmtkomenteChar">
    <w:name w:val="Předmět komentáře Char"/>
    <w:basedOn w:val="TextkomenteChar"/>
    <w:link w:val="Pedmtkomente"/>
    <w:uiPriority w:val="99"/>
    <w:semiHidden/>
    <w:rsid w:val="00AA1D9D"/>
    <w:rPr>
      <w:b/>
      <w:bCs/>
      <w:sz w:val="20"/>
      <w:szCs w:val="20"/>
    </w:rPr>
  </w:style>
  <w:style w:type="character" w:customStyle="1" w:styleId="superscript">
    <w:name w:val="superscript"/>
    <w:basedOn w:val="Standardnpsmoodstavce"/>
    <w:rsid w:val="0044674E"/>
  </w:style>
  <w:style w:type="paragraph" w:styleId="Revize">
    <w:name w:val="Revision"/>
    <w:hidden/>
    <w:uiPriority w:val="99"/>
    <w:semiHidden/>
    <w:rsid w:val="00555389"/>
    <w:pPr>
      <w:spacing w:after="0" w:line="240" w:lineRule="auto"/>
    </w:pPr>
  </w:style>
  <w:style w:type="paragraph" w:customStyle="1" w:styleId="li">
    <w:name w:val="li"/>
    <w:basedOn w:val="Normln"/>
    <w:rsid w:val="00111A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
    <w:name w:val="num"/>
    <w:basedOn w:val="Standardnpsmoodstavce"/>
    <w:rsid w:val="00111ACD"/>
  </w:style>
  <w:style w:type="paragraph" w:customStyle="1" w:styleId="ChapterTitle">
    <w:name w:val="ChapterTitle"/>
    <w:basedOn w:val="Normln"/>
    <w:next w:val="Normln"/>
    <w:rsid w:val="00EA6A2C"/>
    <w:pPr>
      <w:keepNext/>
      <w:spacing w:before="120" w:after="360" w:line="240" w:lineRule="auto"/>
      <w:jc w:val="center"/>
    </w:pPr>
    <w:rPr>
      <w:rFonts w:ascii="Times New Roman" w:hAnsi="Times New Roman" w:cs="Times New Roman"/>
      <w:b/>
      <w:sz w:val="32"/>
    </w:rPr>
  </w:style>
  <w:style w:type="paragraph" w:styleId="Odstavecseseznamem">
    <w:name w:val="List Paragraph"/>
    <w:aliases w:val="nad 1,Nad,Odstavec_muj,Conclusion de partie,Fiche List Paragraph,Odstavec se seznamem2,Normal bullet 2,Bullet list,Numbered List,List Paragraph1,1st level - Bullet List Paragraph,Lettre d'introduction,Paragrafo elenco,Task Body,Dot "/>
    <w:basedOn w:val="Normln"/>
    <w:link w:val="OdstavecseseznamemChar"/>
    <w:uiPriority w:val="34"/>
    <w:qFormat/>
    <w:rsid w:val="00453B64"/>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Normln1">
    <w:name w:val="Normální1"/>
    <w:basedOn w:val="Normln"/>
    <w:rsid w:val="00991E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aliases w:val="Text pozn. pod čarou_martin_ang,Schriftart: 9 pt,Schriftart: 10 pt,Schriftart: 8 pt,Char,Text pozn. pod čarou1,Char Char Char1,Char Char1,Footnote Text Char1,Footnote Char,Fußnote Char,FSR footnote Char"/>
    <w:basedOn w:val="Normln"/>
    <w:link w:val="TextpoznpodarouChar"/>
    <w:uiPriority w:val="99"/>
    <w:unhideWhenUsed/>
    <w:qFormat/>
    <w:rsid w:val="00671A90"/>
    <w:pPr>
      <w:spacing w:after="0" w:line="240" w:lineRule="auto"/>
    </w:pPr>
    <w:rPr>
      <w:sz w:val="20"/>
      <w:szCs w:val="20"/>
    </w:rPr>
  </w:style>
  <w:style w:type="character" w:customStyle="1" w:styleId="TextpoznpodarouChar">
    <w:name w:val="Text pozn. pod čarou Char"/>
    <w:aliases w:val="Text pozn. pod čarou_martin_ang Char,Schriftart: 9 pt Char,Schriftart: 10 pt Char,Schriftart: 8 pt Char,Char Char,Text pozn. pod čarou1 Char,Char Char Char1 Char,Char Char1 Char,Footnote Text Char1 Char,Footnote Char Char"/>
    <w:basedOn w:val="Standardnpsmoodstavce"/>
    <w:link w:val="Textpoznpodarou"/>
    <w:uiPriority w:val="99"/>
    <w:rsid w:val="00671A90"/>
    <w:rPr>
      <w:sz w:val="20"/>
      <w:szCs w:val="20"/>
    </w:rPr>
  </w:style>
  <w:style w:type="character" w:styleId="Znakapoznpodarou">
    <w:name w:val="footnote reference"/>
    <w:aliases w:val="BVI fnr,Footnote symbol,Char1,Ref,de nota al pie,Footnote,Footnote reference number,Times 10 Point,Exposant 3 Point,EN Footnote Reference,note TESI,Footnote Reference Number,E FNZ,-E Fußnotenzeichen,Footnote#,SUPERS,Footnote call"/>
    <w:link w:val="FootnotesymbolCarZchn"/>
    <w:uiPriority w:val="99"/>
    <w:unhideWhenUsed/>
    <w:qFormat/>
    <w:rsid w:val="00671A9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671A90"/>
    <w:pPr>
      <w:spacing w:line="240" w:lineRule="exact"/>
      <w:jc w:val="both"/>
    </w:pPr>
    <w:rPr>
      <w:vertAlign w:val="superscript"/>
    </w:rPr>
  </w:style>
  <w:style w:type="character" w:customStyle="1" w:styleId="dn">
    <w:name w:val="Žádný"/>
    <w:rsid w:val="004D35E1"/>
  </w:style>
  <w:style w:type="paragraph" w:customStyle="1" w:styleId="paragraph">
    <w:name w:val="paragraph"/>
    <w:basedOn w:val="Normln"/>
    <w:rsid w:val="00A716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1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983"/>
  </w:style>
  <w:style w:type="paragraph" w:styleId="Zpat">
    <w:name w:val="footer"/>
    <w:basedOn w:val="Normln"/>
    <w:link w:val="ZpatChar"/>
    <w:uiPriority w:val="99"/>
    <w:unhideWhenUsed/>
    <w:rsid w:val="007C1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983"/>
  </w:style>
  <w:style w:type="character" w:customStyle="1" w:styleId="Nadpis2Char">
    <w:name w:val="Nadpis 2 Char"/>
    <w:basedOn w:val="Standardnpsmoodstavce"/>
    <w:link w:val="Nadpis2"/>
    <w:uiPriority w:val="2"/>
    <w:rsid w:val="00835FEB"/>
    <w:rPr>
      <w:rFonts w:asciiTheme="majorHAnsi" w:eastAsiaTheme="majorEastAsia" w:hAnsiTheme="majorHAnsi" w:cstheme="majorBidi"/>
      <w:color w:val="2F5496" w:themeColor="accent1" w:themeShade="BF"/>
      <w:sz w:val="26"/>
      <w:szCs w:val="26"/>
    </w:rPr>
  </w:style>
  <w:style w:type="character" w:customStyle="1" w:styleId="OdstavecseseznamemChar">
    <w:name w:val="Odstavec se seznamem Char"/>
    <w:aliases w:val="nad 1 Char,Nad Char,Odstavec_muj Char,Conclusion de partie Char,Fiche List Paragraph Char,Odstavec se seznamem2 Char,Normal bullet 2 Char,Bullet list Char,Numbered List Char,List Paragraph1 Char,Lettre d'introduction Char"/>
    <w:link w:val="Odstavecseseznamem"/>
    <w:uiPriority w:val="34"/>
    <w:qFormat/>
    <w:locked/>
    <w:rsid w:val="00835FEB"/>
    <w:rPr>
      <w:rFonts w:ascii="Times New Roman" w:eastAsia="Times New Roman" w:hAnsi="Times New Roman" w:cs="Times New Roman"/>
      <w:sz w:val="24"/>
      <w:szCs w:val="24"/>
      <w:lang w:eastAsia="cs-CZ"/>
    </w:rPr>
  </w:style>
  <w:style w:type="paragraph" w:customStyle="1" w:styleId="OdstavecCOPS">
    <w:name w:val="Odstavec COPS"/>
    <w:basedOn w:val="Normln"/>
    <w:rsid w:val="00835FEB"/>
    <w:pPr>
      <w:spacing w:before="80" w:line="240" w:lineRule="auto"/>
    </w:pPr>
    <w:rPr>
      <w:rFonts w:ascii="Times New Roman" w:eastAsia="Times New Roman" w:hAnsi="Times New Roman" w:cs="Times New Roman"/>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598">
      <w:bodyDiv w:val="1"/>
      <w:marLeft w:val="0"/>
      <w:marRight w:val="0"/>
      <w:marTop w:val="0"/>
      <w:marBottom w:val="0"/>
      <w:divBdr>
        <w:top w:val="none" w:sz="0" w:space="0" w:color="auto"/>
        <w:left w:val="none" w:sz="0" w:space="0" w:color="auto"/>
        <w:bottom w:val="none" w:sz="0" w:space="0" w:color="auto"/>
        <w:right w:val="none" w:sz="0" w:space="0" w:color="auto"/>
      </w:divBdr>
      <w:divsChild>
        <w:div w:id="1895964160">
          <w:marLeft w:val="0"/>
          <w:marRight w:val="0"/>
          <w:marTop w:val="0"/>
          <w:marBottom w:val="0"/>
          <w:divBdr>
            <w:top w:val="none" w:sz="0" w:space="0" w:color="auto"/>
            <w:left w:val="none" w:sz="0" w:space="0" w:color="auto"/>
            <w:bottom w:val="none" w:sz="0" w:space="0" w:color="auto"/>
            <w:right w:val="none" w:sz="0" w:space="0" w:color="auto"/>
          </w:divBdr>
        </w:div>
        <w:div w:id="2031490874">
          <w:marLeft w:val="0"/>
          <w:marRight w:val="0"/>
          <w:marTop w:val="0"/>
          <w:marBottom w:val="0"/>
          <w:divBdr>
            <w:top w:val="none" w:sz="0" w:space="0" w:color="auto"/>
            <w:left w:val="none" w:sz="0" w:space="0" w:color="auto"/>
            <w:bottom w:val="none" w:sz="0" w:space="0" w:color="auto"/>
            <w:right w:val="none" w:sz="0" w:space="0" w:color="auto"/>
          </w:divBdr>
        </w:div>
      </w:divsChild>
    </w:div>
    <w:div w:id="738090743">
      <w:bodyDiv w:val="1"/>
      <w:marLeft w:val="0"/>
      <w:marRight w:val="0"/>
      <w:marTop w:val="0"/>
      <w:marBottom w:val="0"/>
      <w:divBdr>
        <w:top w:val="none" w:sz="0" w:space="0" w:color="auto"/>
        <w:left w:val="none" w:sz="0" w:space="0" w:color="auto"/>
        <w:bottom w:val="none" w:sz="0" w:space="0" w:color="auto"/>
        <w:right w:val="none" w:sz="0" w:space="0" w:color="auto"/>
      </w:divBdr>
    </w:div>
    <w:div w:id="1332105083">
      <w:bodyDiv w:val="1"/>
      <w:marLeft w:val="0"/>
      <w:marRight w:val="0"/>
      <w:marTop w:val="0"/>
      <w:marBottom w:val="0"/>
      <w:divBdr>
        <w:top w:val="none" w:sz="0" w:space="0" w:color="auto"/>
        <w:left w:val="none" w:sz="0" w:space="0" w:color="auto"/>
        <w:bottom w:val="none" w:sz="0" w:space="0" w:color="auto"/>
        <w:right w:val="none" w:sz="0" w:space="0" w:color="auto"/>
      </w:divBdr>
    </w:div>
    <w:div w:id="1391080422">
      <w:bodyDiv w:val="1"/>
      <w:marLeft w:val="0"/>
      <w:marRight w:val="0"/>
      <w:marTop w:val="0"/>
      <w:marBottom w:val="0"/>
      <w:divBdr>
        <w:top w:val="none" w:sz="0" w:space="0" w:color="auto"/>
        <w:left w:val="none" w:sz="0" w:space="0" w:color="auto"/>
        <w:bottom w:val="none" w:sz="0" w:space="0" w:color="auto"/>
        <w:right w:val="none" w:sz="0" w:space="0" w:color="auto"/>
      </w:divBdr>
    </w:div>
    <w:div w:id="1737820235">
      <w:bodyDiv w:val="1"/>
      <w:marLeft w:val="0"/>
      <w:marRight w:val="0"/>
      <w:marTop w:val="0"/>
      <w:marBottom w:val="0"/>
      <w:divBdr>
        <w:top w:val="none" w:sz="0" w:space="0" w:color="auto"/>
        <w:left w:val="none" w:sz="0" w:space="0" w:color="auto"/>
        <w:bottom w:val="none" w:sz="0" w:space="0" w:color="auto"/>
        <w:right w:val="none" w:sz="0" w:space="0" w:color="auto"/>
      </w:divBdr>
      <w:divsChild>
        <w:div w:id="786849235">
          <w:marLeft w:val="0"/>
          <w:marRight w:val="0"/>
          <w:marTop w:val="0"/>
          <w:marBottom w:val="0"/>
          <w:divBdr>
            <w:top w:val="none" w:sz="0" w:space="0" w:color="auto"/>
            <w:left w:val="none" w:sz="0" w:space="0" w:color="auto"/>
            <w:bottom w:val="none" w:sz="0" w:space="0" w:color="auto"/>
            <w:right w:val="none" w:sz="0" w:space="0" w:color="auto"/>
          </w:divBdr>
        </w:div>
        <w:div w:id="141123773">
          <w:marLeft w:val="0"/>
          <w:marRight w:val="0"/>
          <w:marTop w:val="0"/>
          <w:marBottom w:val="0"/>
          <w:divBdr>
            <w:top w:val="none" w:sz="0" w:space="0" w:color="auto"/>
            <w:left w:val="none" w:sz="0" w:space="0" w:color="auto"/>
            <w:bottom w:val="none" w:sz="0" w:space="0" w:color="auto"/>
            <w:right w:val="none" w:sz="0" w:space="0" w:color="auto"/>
          </w:divBdr>
        </w:div>
      </w:divsChild>
    </w:div>
    <w:div w:id="20674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PC0503" TargetMode="External"/><Relationship Id="rId13" Type="http://schemas.openxmlformats.org/officeDocument/2006/relationships/hyperlink" Target="https://www.europarl.europa.eu/doceo/document/TA-10-2026-0098_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ilium.europa.eu/en/documents/public-register/public-register-search/?WordsInSubject=AI+omnibus&amp;WordsInText=mandate&amp;DocumentNumber=&amp;InterinstitutionalFiles=&amp;DocumentTypes=&amp;DateFrom=&amp;DateTo=&amp;MeetingDateFrom=&amp;MeetingDateTo=&amp;DocumentLanguage=EN&amp;OrderBy=DOCUMENT_DATE+DES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CS/TXT/?uri=celex%3A52025PC083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ilium.europa.eu/en/documents/public-register/public-register-search/?WordsInSubject=common+specifications&amp;WordsInText=&amp;DocumentNumber=&amp;InterinstitutionalFiles=&amp;DocumentTypes=&amp;DateFrom=&amp;DateTo=&amp;MeetingDateFrom=&amp;MeetingDateTo=&amp;DocumentLanguage=EN&amp;OrderBy=DOCUMENT_DATE+DESC" TargetMode="External"/><Relationship Id="rId4" Type="http://schemas.openxmlformats.org/officeDocument/2006/relationships/settings" Target="settings.xml"/><Relationship Id="rId9" Type="http://schemas.openxmlformats.org/officeDocument/2006/relationships/hyperlink" Target="https://eur-lex.europa.eu/legal-content/EN/TXT/?uri=celex%3A52025PC0503" TargetMode="External"/><Relationship Id="rId14" Type="http://schemas.openxmlformats.org/officeDocument/2006/relationships/hyperlink" Target="https://eur-lex.europa.eu/legal-content/CS/TXT/?uri=CELEX:52025PC102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510B-10CD-45F1-BA8B-A0B61B6F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1518</Words>
  <Characters>8961</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Olga</dc:creator>
  <cp:keywords/>
  <dc:description/>
  <cp:lastModifiedBy>Králová Karolína</cp:lastModifiedBy>
  <cp:revision>3</cp:revision>
  <dcterms:created xsi:type="dcterms:W3CDTF">2026-06-02T07:27:00Z</dcterms:created>
  <dcterms:modified xsi:type="dcterms:W3CDTF">2026-06-02T07:27:00Z</dcterms:modified>
</cp:coreProperties>
</file>