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4AB7" w14:textId="2E9ADA4A" w:rsidR="00F078A3" w:rsidRPr="00B817C7" w:rsidRDefault="00F078A3" w:rsidP="008E64C5">
      <w:pPr>
        <w:pStyle w:val="Normlnweb"/>
        <w:spacing w:before="0" w:beforeAutospacing="0" w:after="0" w:afterAutospacing="0"/>
        <w:jc w:val="center"/>
        <w:rPr>
          <w:b/>
          <w:bCs/>
          <w:color w:val="212529"/>
          <w:sz w:val="22"/>
          <w:szCs w:val="22"/>
          <w:u w:val="single"/>
        </w:rPr>
      </w:pPr>
      <w:r w:rsidRPr="00B817C7">
        <w:rPr>
          <w:b/>
          <w:bCs/>
          <w:color w:val="212529"/>
          <w:sz w:val="22"/>
          <w:szCs w:val="22"/>
          <w:u w:val="single"/>
        </w:rPr>
        <w:t xml:space="preserve">Aktuální stav agend </w:t>
      </w:r>
      <w:r w:rsidR="00D46331" w:rsidRPr="00B817C7">
        <w:rPr>
          <w:b/>
          <w:bCs/>
          <w:color w:val="212529"/>
          <w:sz w:val="22"/>
          <w:szCs w:val="22"/>
          <w:u w:val="single"/>
        </w:rPr>
        <w:t xml:space="preserve">v gesci ÚNMZ projednávaných </w:t>
      </w:r>
      <w:r w:rsidRPr="00B817C7">
        <w:rPr>
          <w:b/>
          <w:bCs/>
          <w:color w:val="212529"/>
          <w:sz w:val="22"/>
          <w:szCs w:val="22"/>
          <w:u w:val="single"/>
        </w:rPr>
        <w:t xml:space="preserve">v rámci </w:t>
      </w:r>
      <w:r w:rsidR="00CF6EBF" w:rsidRPr="00B817C7">
        <w:rPr>
          <w:b/>
          <w:bCs/>
          <w:color w:val="212529"/>
          <w:sz w:val="22"/>
          <w:szCs w:val="22"/>
          <w:u w:val="single"/>
        </w:rPr>
        <w:t>pracovních orgánů Rady EU</w:t>
      </w:r>
    </w:p>
    <w:p w14:paraId="6E5FAC7A" w14:textId="646116EC" w:rsidR="008E7C95" w:rsidRPr="00B817C7" w:rsidRDefault="00F078A3" w:rsidP="008E64C5">
      <w:pPr>
        <w:pStyle w:val="Normlnweb"/>
        <w:spacing w:before="0" w:beforeAutospacing="0" w:after="0" w:afterAutospacing="0"/>
        <w:jc w:val="center"/>
        <w:rPr>
          <w:i/>
          <w:iCs/>
          <w:sz w:val="22"/>
          <w:szCs w:val="22"/>
        </w:rPr>
      </w:pPr>
      <w:r w:rsidRPr="00B817C7">
        <w:rPr>
          <w:i/>
          <w:iCs/>
          <w:sz w:val="22"/>
          <w:szCs w:val="22"/>
        </w:rPr>
        <w:t>(aktualizace</w:t>
      </w:r>
      <w:r w:rsidR="006A3B52" w:rsidRPr="00B817C7">
        <w:rPr>
          <w:i/>
          <w:iCs/>
          <w:sz w:val="22"/>
          <w:szCs w:val="22"/>
        </w:rPr>
        <w:t xml:space="preserve"> k</w:t>
      </w:r>
      <w:r w:rsidR="007B6F4D">
        <w:rPr>
          <w:i/>
          <w:iCs/>
          <w:sz w:val="22"/>
          <w:szCs w:val="22"/>
        </w:rPr>
        <w:t> </w:t>
      </w:r>
      <w:r w:rsidR="007D03A1">
        <w:rPr>
          <w:i/>
          <w:iCs/>
          <w:sz w:val="22"/>
          <w:szCs w:val="22"/>
        </w:rPr>
        <w:t>28</w:t>
      </w:r>
      <w:r w:rsidR="007B6F4D">
        <w:rPr>
          <w:i/>
          <w:iCs/>
          <w:sz w:val="22"/>
          <w:szCs w:val="22"/>
        </w:rPr>
        <w:t xml:space="preserve">. </w:t>
      </w:r>
      <w:r w:rsidR="00961F49">
        <w:rPr>
          <w:i/>
          <w:iCs/>
          <w:sz w:val="22"/>
          <w:szCs w:val="22"/>
        </w:rPr>
        <w:t>2</w:t>
      </w:r>
      <w:r w:rsidR="00C11D0C" w:rsidRPr="00B817C7">
        <w:rPr>
          <w:i/>
          <w:iCs/>
          <w:sz w:val="22"/>
          <w:szCs w:val="22"/>
        </w:rPr>
        <w:t>. 202</w:t>
      </w:r>
      <w:r w:rsidR="00373D62">
        <w:rPr>
          <w:i/>
          <w:iCs/>
          <w:sz w:val="22"/>
          <w:szCs w:val="22"/>
        </w:rPr>
        <w:t>6</w:t>
      </w:r>
      <w:r w:rsidRPr="00B817C7">
        <w:rPr>
          <w:i/>
          <w:iCs/>
          <w:sz w:val="22"/>
          <w:szCs w:val="22"/>
        </w:rPr>
        <w:t>)</w:t>
      </w:r>
      <w:bookmarkStart w:id="0" w:name="_Hlk136935953"/>
    </w:p>
    <w:tbl>
      <w:tblPr>
        <w:tblW w:w="1516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0"/>
        <w:gridCol w:w="1701"/>
        <w:gridCol w:w="11067"/>
      </w:tblGrid>
      <w:tr w:rsidR="00BD7B56" w:rsidRPr="00B817C7" w14:paraId="59235C02" w14:textId="0C8B7F76" w:rsidTr="00A63C71">
        <w:trPr>
          <w:trHeight w:val="893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768C81E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Návrh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9D21438" w14:textId="2ABDB701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Gestor</w:t>
            </w:r>
          </w:p>
          <w:p w14:paraId="4B5E82B5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(za PS/za předpis)</w:t>
            </w:r>
          </w:p>
        </w:tc>
        <w:tc>
          <w:tcPr>
            <w:tcW w:w="1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C935D8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Stav projednávání</w:t>
            </w:r>
          </w:p>
        </w:tc>
      </w:tr>
      <w:tr w:rsidR="00BD7B56" w:rsidRPr="00B817C7" w14:paraId="13464B05" w14:textId="6FDC2C3C" w:rsidTr="00A63C71">
        <w:trPr>
          <w:trHeight w:val="699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752E9089" w14:textId="571C5C6B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8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 Evropského parlamentu a Rady, kterou se mění směrnice 2014/32/EU, pokud jde o dobíjecí zařízení elektrických vozidel, výdejní stojany stlačeného plynu a elektroměry, plynoměry a měřidla tepelné energie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BC026" w14:textId="2D49FAA0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2131C0">
              <w:rPr>
                <w:rFonts w:ascii="Times New Roman" w:eastAsia="Times New Roman" w:hAnsi="Times New Roman" w:cs="Times New Roman"/>
                <w:lang w:eastAsia="zh-CN"/>
              </w:rPr>
              <w:t xml:space="preserve">PS </w:t>
            </w:r>
            <w:proofErr w:type="gramStart"/>
            <w:r w:rsidRPr="002131C0">
              <w:rPr>
                <w:rFonts w:ascii="Times New Roman" w:eastAsia="Times New Roman" w:hAnsi="Times New Roman" w:cs="Times New Roman"/>
                <w:lang w:eastAsia="zh-CN"/>
              </w:rPr>
              <w:t>G7 -</w:t>
            </w:r>
            <w:r w:rsidR="00BD7B56" w:rsidRPr="002131C0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BD7B56" w:rsidRPr="002131C0">
              <w:rPr>
                <w:rFonts w:ascii="Times New Roman" w:eastAsia="Times New Roman" w:hAnsi="Times New Roman" w:cs="Times New Roman"/>
                <w:lang w:eastAsia="zh-CN"/>
              </w:rPr>
              <w:t>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261DAC3" w14:textId="09687D61" w:rsidR="002F0E1B" w:rsidRDefault="002F0E1B" w:rsidP="00BE58D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sz w:val="22"/>
                <w:szCs w:val="22"/>
                <w:lang w:eastAsia="en-US"/>
              </w:rPr>
            </w:pPr>
            <w:r w:rsidRPr="002F0E1B">
              <w:rPr>
                <w:rFonts w:eastAsiaTheme="minorHAnsi"/>
                <w:sz w:val="22"/>
                <w:szCs w:val="22"/>
                <w:lang w:eastAsia="en-US"/>
              </w:rPr>
              <w:t xml:space="preserve">EK zveřejnila 29. 11. 2024 návrh na cílenou technickou změnu směrnice 2014/32EU o měřidlech (MID) s cílem harmonizovat požadavky na nové typy měřidel nezbytných pro digitální transformaci a cíle </w:t>
            </w:r>
            <w:proofErr w:type="gramStart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>Zelené</w:t>
            </w:r>
            <w:proofErr w:type="gramEnd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 xml:space="preserve"> dohody pro Evropu. Návrh reaguje na technologický vývoj a předchází roztříštěnosti vnitřního trhu tím, že aktualizuje oblast působnosti směrnice a doplňuje nové základní požadavky. Konkrétně se jedná o technické úpravy základních požadavků v příloze I, úpravy u plynoměrů v příloze IV a elektroměrů v příloze V s ohledem na inteligentní měřidla. Zásadním prvkem je doplnění nové přílohy </w:t>
            </w:r>
            <w:proofErr w:type="spellStart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>Va</w:t>
            </w:r>
            <w:proofErr w:type="spellEnd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 xml:space="preserve"> pro dobíjecí zařízení elektrických vozidel, úprava měřidel tepelné energie v příloze VI pro chladicí aplikace a zavedení nové přílohy </w:t>
            </w:r>
            <w:proofErr w:type="spellStart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>VIIa</w:t>
            </w:r>
            <w:proofErr w:type="spellEnd"/>
            <w:r w:rsidRPr="002F0E1B">
              <w:rPr>
                <w:rFonts w:eastAsiaTheme="minorHAnsi"/>
                <w:sz w:val="22"/>
                <w:szCs w:val="22"/>
                <w:lang w:eastAsia="en-US"/>
              </w:rPr>
              <w:t xml:space="preserve"> pro výdejní stojany stlačeného plynu. </w:t>
            </w:r>
          </w:p>
          <w:p w14:paraId="3EB72654" w14:textId="775C6B24" w:rsidR="00D94007" w:rsidRPr="006E74D3" w:rsidRDefault="002F0E1B" w:rsidP="00BE58D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r w:rsidRPr="002F0E1B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Návrh představila EK na jednání PS G7 pro technickou harmonizaci dne 12. 12 2024 za HU PRES. Projednávání pokračovalo za PL PRES a DK PRES v rámci šesti jednání PS. Dne 8. 10. 2025 schválil CRP I mandát pro jednání s EP. Tento mandát oproti původnímu návrhu Komise upravil přechodné a implementační lhůty, prodloužil platnost certifikátů, zjednodušil požadavky na ochranu dat a usnadnil využití cloudových řešení. Došlo také k přizpůsobení definic koncepci chytrých měřidel a zpřísnění požadavků na přesnost u střídavých a stejnosměrných systémů.  EP přijal své stanovisko dne 30. 9. 2025. Dne 18. 11. 2025 bylo dosaženo v rámci jednoho politického trialogu předběžné politické dohody mezi EP, Radou a EK nad textem návrhu. Poté, co tuto dohodu v únoru 2026 definitivně odsouhlasil Evropský parlament (10. 2.) i Rada (CRP 25. 2. a COMPET 26. 2. 2026 – CZ, SE, AT se zdržely hlasování), zbývá již pouze formální podpis předsedů obou institucí a zveřejnění legislativního aktu v OJ EU.</w:t>
            </w:r>
          </w:p>
        </w:tc>
      </w:tr>
      <w:tr w:rsidR="00A63C71" w:rsidRPr="00B817C7" w14:paraId="07030FFF" w14:textId="77777777" w:rsidTr="009D16C3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E058D5F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9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směrnice, kterou se mění směrnice 2000/14/ES, 2011/65/EU, 2013/53/EU, 2014/29/EU, 2014/30/EU, 2014/31/EU, 2014/32/EU, 2014/33/EU, 2014/34/EU, 2014/35/EU, 2014/53/EU, 2014/68/EU, 2014/90/</w:t>
              </w:r>
              <w:proofErr w:type="gramStart"/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EU</w:t>
              </w:r>
              <w:proofErr w:type="gramEnd"/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 xml:space="preserve"> pokud jde o digitalizaci a společné specifikace.</w:t>
              </w:r>
            </w:hyperlink>
          </w:p>
          <w:p w14:paraId="760D3F77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 xml:space="preserve">Návrh nařízení, kterým se mění nařízení (EU) 765/2008, 2016/424, 2015/425. 2016/426, </w:t>
              </w:r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lastRenderedPageBreak/>
                <w:t>2024/1230, 2023/1542 a 2024/1781 pokud jde o digitalizaci a společné specifikace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89CC8" w14:textId="77777777" w:rsidR="00A63C71" w:rsidRPr="00B817C7" w:rsidRDefault="00A63C71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72A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PS A.</w:t>
            </w:r>
            <w:proofErr w:type="gramStart"/>
            <w:r w:rsidRPr="00B872A5">
              <w:rPr>
                <w:rFonts w:ascii="Times New Roman" w:eastAsia="Times New Roman" w:hAnsi="Times New Roman" w:cs="Times New Roman"/>
                <w:lang w:eastAsia="zh-CN"/>
              </w:rPr>
              <w:t>14a</w:t>
            </w: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 -MZV</w:t>
            </w:r>
            <w:proofErr w:type="gramEnd"/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E5DBD8" w14:textId="77777777" w:rsidR="004A2182" w:rsidRDefault="00231E8A" w:rsidP="004A2182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31E8A">
              <w:rPr>
                <w:rFonts w:eastAsiaTheme="minorHAnsi"/>
                <w:sz w:val="22"/>
                <w:szCs w:val="22"/>
                <w:lang w:eastAsia="en-US"/>
              </w:rPr>
              <w:t>EK zveřejnila oba návrhy 21. 5. 2025 v rámci IV. simplifikačního omnibusu ke zjednodušení administrativní zátěže. Cílem je digitalizace povinností hospodářských subjektů, zejména zavedením povinného elektronického EU prohlášení o shodě přístupného přes internetovou adresu či strojově čitelný kód. Výrobci budou nově na výrobcích uvádět „digitální kontakt“ a návody budou moci poskytovat v elektronické podobě, s výjimkou bezpečnostních informací, které zůstávají v papírové formě nebo musí být uvedeny přímo na výrobku. Návrhy dále zavádějí výhradně elektronickou komunikaci s vnitrostátními orgány a povinnost integrovat dokumentaci do digitálního pasu výrobku (DPP) u výrobků, které jej vyžadují. Součástí navrhované úpravy je také možnost přijmout společné specifikace, které mají sloužit jako záložní řešení v situacích, kdy prokazování shody nelze zajistit skrze harmonizované normy, například z důvodu jejich neexistence, nedostatečnosti nebo vzniku naléhavé potřeby.</w:t>
            </w:r>
          </w:p>
          <w:p w14:paraId="37530567" w14:textId="65EE74A0" w:rsidR="00013883" w:rsidRPr="001E49C1" w:rsidRDefault="00231E8A" w:rsidP="001E49C1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1E49C1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EK prezentovala celý IV. simplifikační omnibus 28. 5. 2025 na PS Rady A.</w:t>
            </w:r>
            <w:proofErr w:type="gramStart"/>
            <w:r w:rsidRPr="001E49C1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14a</w:t>
            </w:r>
            <w:proofErr w:type="gramEnd"/>
            <w:r w:rsidRPr="001E49C1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E49C1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Antici</w:t>
            </w:r>
            <w:proofErr w:type="spellEnd"/>
            <w:r w:rsidRPr="001E49C1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zjednodušování. Oba návrhy byly diskutovány na šesti zasedáních této PS a 24. 9. 2025 CRP II schválil mandát pro zahájení jednání s EP, který oproti původnímu návrhu EK zahrnuje několik zásadních úprav. Z působnosti bylo vyjmuto nařízení (ES) 765/2008 o akreditaci a dozoru nad trhem a byla zpřesněna pravidla pro digitální kontakt s důrazem na dostupnost bezpečnostních informací k výrobku v digitální podobě při ohrožení spotřebitele. Rámec pro přijímání společných specifikací byl uveden do souladu s přístupem dohodnutým v nařízení (EU) 2025/2509 o bezpečnosti hraček. Mandát dále prodlužuje lhůtu pro transpozici směrnice na 24 měsíců, a zahrnuje nařízení o ekodesignu (ESPR), která prodlužuje platnost stávající směrnice o ekodesignu (2009/125/ES) pro vybrané skupiny výrobků o dva roky, tedy do 31. 12. 2028.</w:t>
            </w:r>
            <w:r w:rsidR="001E49C1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Dne 18. 2. 2026 PS A14 </w:t>
            </w:r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lastRenderedPageBreak/>
              <w:t xml:space="preserve">projednala pozici výboru IMCO schválenou 27. 1. 2026. Pozice by měla být potvrzena na březnovém plénu jako mandát EP k vyjednávání s Radou. Úpravy navrhované IMCO zavádějí mechanismus pro přijímání společných specifikací v případech naléhavého zájmu (urgent </w:t>
            </w:r>
            <w:proofErr w:type="spellStart"/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concerns</w:t>
            </w:r>
            <w:proofErr w:type="spellEnd"/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) jako krajního řešení (last resort) při aktivaci nouzového režimu vnitřního trhu (IMERA) nebo v případě, kdy přerušení spolupráce s mezinárodními organizacemi ISO/IEC brání tvorbě evropských norem. Tento proces vyžaduje předchozí zmocnění Radou, asistenci expertní skupiny a je časově omezen do účinnosti revidovaného nařízení o normalizaci. V oblasti digitální dokumentace EP požaduje přímý a bezplatný přístup k prohlášení o shodě (</w:t>
            </w:r>
            <w:proofErr w:type="spellStart"/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DoC</w:t>
            </w:r>
            <w:proofErr w:type="spellEnd"/>
            <w:r w:rsidRPr="00231E8A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) bez registrací, stahování aplikací či sběru osobních údajů. U návodů k použití prosazuje právo spotřebitele vyžádat si papírovou verzi až 24 měsíců po nákupu (Rada navrhuje 6 měsíců), přičemž výrobce ji musí doručit do 15 pracovních dnů i na základě netechnické žádosti (např. telefonicky). U výrobků pro spotřebitele musí být tyto informace navíc formátově adaptovány pro osoby se zdravotním postižením (písmo, kontrast). Pro mikropodniky a SME pak EP žádá vývoj standardizovaných digitálních nástrojů pro usnadnění přechodu na nová pravidla. Aktuálně probíhají technické trialogy s EP.</w:t>
            </w:r>
          </w:p>
        </w:tc>
      </w:tr>
      <w:bookmarkEnd w:id="0"/>
      <w:tr w:rsidR="00D946E7" w:rsidRPr="00B817C7" w14:paraId="7F70D879" w14:textId="77777777" w:rsidTr="00A116D3">
        <w:trPr>
          <w:trHeight w:val="274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29B3AB15" w14:textId="77777777" w:rsidR="00D946E7" w:rsidRPr="00B817C7" w:rsidRDefault="00D946E7" w:rsidP="00971EA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817C7">
              <w:rPr>
                <w:rFonts w:ascii="Times New Roman" w:hAnsi="Times New Roman" w:cs="Times New Roman"/>
              </w:rPr>
              <w:lastRenderedPageBreak/>
              <w:fldChar w:fldCharType="begin"/>
            </w:r>
            <w:r w:rsidRPr="00B817C7">
              <w:rPr>
                <w:rFonts w:ascii="Times New Roman" w:hAnsi="Times New Roman" w:cs="Times New Roman"/>
              </w:rPr>
              <w:instrText>HYPERLINK "https://eur-lex.europa.eu/legal-content/CS/TXT/?uri=CELEX%3A52023PC0217"</w:instrText>
            </w:r>
            <w:r w:rsidRPr="00B817C7">
              <w:rPr>
                <w:rFonts w:ascii="Times New Roman" w:hAnsi="Times New Roman" w:cs="Times New Roman"/>
              </w:rPr>
            </w:r>
            <w:r w:rsidRPr="00B817C7">
              <w:rPr>
                <w:rFonts w:ascii="Times New Roman" w:hAnsi="Times New Roman" w:cs="Times New Roman"/>
              </w:rPr>
              <w:fldChar w:fldCharType="separate"/>
            </w:r>
            <w:r w:rsidRPr="00B817C7">
              <w:rPr>
                <w:rStyle w:val="Hypertextovodkaz"/>
                <w:rFonts w:ascii="Times New Roman" w:hAnsi="Times New Roman" w:cs="Times New Roman"/>
                <w:b/>
                <w:bCs/>
              </w:rPr>
              <w:t>Návrh nařízení EP a Rady o detergentech a povrchově aktivních látkách, o změně nařízení (EU) 2019/1020 a o zrušení nařízení (ES) č. 648/200</w:t>
            </w:r>
            <w:r w:rsidRPr="00B817C7">
              <w:rPr>
                <w:rStyle w:val="Hypertextovodkaz"/>
                <w:rFonts w:ascii="Times New Roman" w:hAnsi="Times New Roman" w:cs="Times New Roman"/>
              </w:rPr>
              <w:t>4</w:t>
            </w:r>
            <w:r w:rsidRPr="00B817C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70896" w14:textId="02E716BF" w:rsidR="00D946E7" w:rsidRPr="00B817C7" w:rsidRDefault="00CF6EBF" w:rsidP="00971E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0B155E">
              <w:rPr>
                <w:rFonts w:ascii="Times New Roman" w:eastAsia="Times New Roman" w:hAnsi="Times New Roman" w:cs="Times New Roman"/>
                <w:lang w:eastAsia="zh-CN"/>
              </w:rPr>
              <w:t xml:space="preserve">PS </w:t>
            </w:r>
            <w:proofErr w:type="gramStart"/>
            <w:r w:rsidRPr="000B155E">
              <w:rPr>
                <w:rFonts w:ascii="Times New Roman" w:eastAsia="Times New Roman" w:hAnsi="Times New Roman" w:cs="Times New Roman"/>
                <w:lang w:eastAsia="zh-CN"/>
              </w:rPr>
              <w:t xml:space="preserve">G7 - </w:t>
            </w:r>
            <w:r w:rsidR="00D946E7" w:rsidRPr="000B155E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D946E7" w:rsidRPr="000B155E">
              <w:rPr>
                <w:rFonts w:ascii="Times New Roman" w:eastAsia="Times New Roman" w:hAnsi="Times New Roman" w:cs="Times New Roman"/>
                <w:lang w:eastAsia="zh-CN"/>
              </w:rPr>
              <w:t>/MŽP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D15907" w14:textId="77777777" w:rsidR="00D946E7" w:rsidRPr="00A7735D" w:rsidRDefault="00D946E7" w:rsidP="00971EA3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A7735D">
              <w:rPr>
                <w:rFonts w:eastAsiaTheme="minorHAnsi"/>
                <w:sz w:val="22"/>
                <w:szCs w:val="22"/>
                <w:lang w:eastAsia="en-US"/>
              </w:rPr>
              <w:t>EK zveřejnila návrh v dubnu 2023 s cílem vytvořit právní rámec podporující ekologickou a digitální transformaci EU průmyslu, zohlednit nový vývoj na trhu, přizpůsobit mu a zjednodušit stávající pravidla, snížit regulační zátěž pro výrobce a zabránit duplikaci požadavků v legislativě. Nařízení definuje požadavky na složení detergentů, včetně jejich biologické rozložitelnosti a účinnosti, a vyžaduje, aby výrobci poskytovali informace o bezpečném používání a nakládání s těmito produkty. Zahrnuje také opatření k omezení používání nebezpečných látek a ke snížení jejich negativních dopadů na životní prostředí.</w:t>
            </w:r>
          </w:p>
          <w:p w14:paraId="120D673C" w14:textId="3A64E88E" w:rsidR="0074094B" w:rsidRDefault="00D946E7" w:rsidP="00971EA3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color w:val="212121"/>
                <w:sz w:val="20"/>
                <w:szCs w:val="20"/>
              </w:rPr>
            </w:pP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představila návrh na PS G7 pro technickou harmonizaci v květnu 2023 za SE PRES, včetně studie posouzení dopadů, a proběhla první obecná výměna názorů k návrhu. ES PRES strukturovalo diskusi po jednotlivých klastrech a BE PRES pokračovalo v projednávání. </w:t>
            </w:r>
            <w:proofErr w:type="spellStart"/>
            <w:r w:rsidR="004554D9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</w:t>
            </w:r>
            <w:proofErr w:type="spellEnd"/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schválil dne 14. 6. 2024 </w:t>
            </w:r>
            <w:hyperlink r:id="rId11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 Rady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vyjednávání s EP. EP přijal své </w:t>
            </w:r>
            <w:hyperlink r:id="rId12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stanovisko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svém plenárním zasedání dne 27.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2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2024. </w:t>
            </w:r>
            <w:r w:rsidR="000214CF" w:rsidRPr="00A7735D">
              <w:rPr>
                <w:i/>
                <w:iCs/>
                <w:sz w:val="20"/>
                <w:szCs w:val="20"/>
              </w:rPr>
              <w:t>Diskuse s EP zahájilo s ohledem na volby do EP PL PRES až 28. 1. 2025 prvním politickým trialogem</w:t>
            </w:r>
            <w:r w:rsidR="00AE4DCC" w:rsidRPr="00A7735D">
              <w:rPr>
                <w:i/>
                <w:iCs/>
                <w:sz w:val="20"/>
                <w:szCs w:val="20"/>
              </w:rPr>
              <w:t xml:space="preserve"> a v rámci dalších dvou politických trialogů se podařilo dne 10. 6. 2025 dosáhnout </w:t>
            </w:r>
            <w:hyperlink r:id="rId13" w:history="1">
              <w:r w:rsidR="00AE4DCC" w:rsidRPr="00A7735D">
                <w:rPr>
                  <w:rStyle w:val="Hypertextovodkaz"/>
                  <w:i/>
                  <w:iCs/>
                  <w:sz w:val="20"/>
                  <w:szCs w:val="20"/>
                </w:rPr>
                <w:t>předběžné politické dohody s EP</w:t>
              </w:r>
            </w:hyperlink>
            <w:r w:rsidR="00AE4DCC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0E7087" w:rsidRPr="00A7735D">
              <w:rPr>
                <w:i/>
                <w:iCs/>
                <w:sz w:val="20"/>
                <w:szCs w:val="20"/>
              </w:rPr>
              <w:t xml:space="preserve">o podobě textu nařízení o detergentech. 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Rada konstatovala na </w:t>
            </w:r>
            <w:proofErr w:type="spellStart"/>
            <w:r w:rsidR="00D412B7" w:rsidRPr="00A7735D">
              <w:rPr>
                <w:i/>
                <w:iCs/>
                <w:sz w:val="20"/>
                <w:szCs w:val="20"/>
              </w:rPr>
              <w:t>Coreperu</w:t>
            </w:r>
            <w:proofErr w:type="spellEnd"/>
            <w:r w:rsidR="00D412B7" w:rsidRPr="00A7735D">
              <w:rPr>
                <w:i/>
                <w:iCs/>
                <w:sz w:val="20"/>
                <w:szCs w:val="20"/>
              </w:rPr>
              <w:t xml:space="preserve"> dne </w:t>
            </w:r>
            <w:r w:rsidR="00084DEB" w:rsidRPr="00A7735D">
              <w:rPr>
                <w:i/>
                <w:iCs/>
                <w:sz w:val="20"/>
                <w:szCs w:val="20"/>
              </w:rPr>
              <w:t>25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. 6. 2025 </w:t>
            </w:r>
            <w:hyperlink r:id="rId14" w:history="1">
              <w:r w:rsidR="00D412B7" w:rsidRPr="00A7735D">
                <w:rPr>
                  <w:rStyle w:val="Hypertextovodkaz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="00D412B7" w:rsidRPr="00A7735D">
              <w:rPr>
                <w:i/>
                <w:iCs/>
                <w:sz w:val="20"/>
                <w:szCs w:val="20"/>
              </w:rPr>
              <w:t xml:space="preserve">. Dohoda byla </w:t>
            </w:r>
            <w:r w:rsidR="00084DEB" w:rsidRPr="00A7735D">
              <w:rPr>
                <w:i/>
                <w:iCs/>
                <w:sz w:val="20"/>
                <w:szCs w:val="20"/>
              </w:rPr>
              <w:t xml:space="preserve">následně </w:t>
            </w:r>
            <w:r w:rsidR="00D412B7" w:rsidRPr="00A7735D">
              <w:rPr>
                <w:i/>
                <w:iCs/>
                <w:sz w:val="20"/>
                <w:szCs w:val="20"/>
              </w:rPr>
              <w:t>potvrzena i ze strany EP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. Po dokončení právně lingvistické revize </w:t>
            </w:r>
            <w:r w:rsidR="00A746E2">
              <w:rPr>
                <w:i/>
                <w:iCs/>
                <w:sz w:val="20"/>
                <w:szCs w:val="20"/>
              </w:rPr>
              <w:t xml:space="preserve">schválila </w:t>
            </w:r>
            <w:r w:rsidR="00A746E2" w:rsidRPr="00A7735D">
              <w:rPr>
                <w:i/>
                <w:iCs/>
                <w:sz w:val="20"/>
                <w:szCs w:val="20"/>
              </w:rPr>
              <w:t>Rada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A746E2">
              <w:rPr>
                <w:i/>
                <w:iCs/>
                <w:sz w:val="20"/>
                <w:szCs w:val="20"/>
              </w:rPr>
              <w:t xml:space="preserve">8. 12. 2025 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text jako svou pozici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v prvním čtení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 a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EP jej následně schvál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il dne </w:t>
            </w:r>
            <w:r w:rsidR="00AD788E">
              <w:rPr>
                <w:i/>
                <w:iCs/>
                <w:color w:val="212121"/>
                <w:sz w:val="20"/>
                <w:szCs w:val="20"/>
              </w:rPr>
              <w:t>22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.</w:t>
            </w:r>
            <w:r w:rsidR="00971EA3">
              <w:rPr>
                <w:i/>
                <w:iCs/>
                <w:color w:val="212121"/>
                <w:sz w:val="20"/>
                <w:szCs w:val="20"/>
              </w:rPr>
              <w:t> 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1.</w:t>
            </w:r>
            <w:r w:rsidR="00971EA3">
              <w:rPr>
                <w:i/>
                <w:iCs/>
                <w:color w:val="212121"/>
                <w:sz w:val="20"/>
                <w:szCs w:val="20"/>
              </w:rPr>
              <w:t> 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202</w:t>
            </w:r>
            <w:r w:rsidR="00AD788E">
              <w:rPr>
                <w:i/>
                <w:iCs/>
                <w:color w:val="212121"/>
                <w:sz w:val="20"/>
                <w:szCs w:val="20"/>
              </w:rPr>
              <w:t>6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 xml:space="preserve">jako svou pozici ve druhém 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čtení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.</w:t>
            </w:r>
            <w:r w:rsidR="009B6622" w:rsidRPr="00A7735D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Očekává se zveřejnění v OJ EU.</w:t>
            </w:r>
          </w:p>
          <w:p w14:paraId="2E51492C" w14:textId="76591E61" w:rsidR="00E2120F" w:rsidRPr="00A7735D" w:rsidRDefault="009B6622" w:rsidP="00971EA3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</w:pP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Výsledný text oproti stávající právní úpravě výrazně zpřísňuje a digitalizuje pravidla pro uvádění produktů na trh s cílem zvýšit bezpečnost, ochranu životního prostředí a transparentnost pro spotřebitele, přičemž nejvýznamnější změny se týkají povinnosti elektronicky oznamovat </w:t>
            </w:r>
            <w:r w:rsidR="00A63C71" w:rsidRPr="00A7735D">
              <w:rPr>
                <w:i/>
                <w:iCs/>
                <w:color w:val="212121"/>
                <w:sz w:val="20"/>
                <w:szCs w:val="20"/>
              </w:rPr>
              <w:t>d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atový list složek (IDS) agentuře ECHA pro všechny spotřebitelské produkty a zavedení </w:t>
            </w:r>
            <w:r w:rsidR="00AF1FF4" w:rsidRPr="00A7735D">
              <w:rPr>
                <w:i/>
                <w:iCs/>
                <w:color w:val="212121"/>
                <w:sz w:val="20"/>
                <w:szCs w:val="20"/>
              </w:rPr>
              <w:t>digitálního pasu výrobku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 propojeného s QR kódem. Dále se rozšiřuje povinné označování dávkování i na čisticí prostředky na povrchy a zpřesňují se prvky fyzické etikety; zároveň se potvrzuje a posiluje zákaz testování na zvířatech a zavádí se přísnější kritéria biologické rozložitelnosti pro povrchově aktivní látky, zejména v kapslích. Nová pravidla také regulují a definují mikrobiologické čisticí výrobky s povinností hodnocení rizik, stanovují limity pro obsah fosforu a zavádějí roli zmocněného zástupce v EU pro výrobce ze třetích zemí</w:t>
            </w:r>
            <w:r w:rsidRPr="00A7735D">
              <w:rPr>
                <w:i/>
                <w:iCs/>
                <w:color w:val="212121"/>
                <w:sz w:val="22"/>
                <w:szCs w:val="22"/>
              </w:rPr>
              <w:t>.</w:t>
            </w:r>
          </w:p>
        </w:tc>
      </w:tr>
      <w:tr w:rsidR="005F4AEB" w:rsidRPr="00B817C7" w14:paraId="176CACB1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07A58DD" w14:textId="5BBE0D77" w:rsidR="005F4AEB" w:rsidRPr="00B817C7" w:rsidRDefault="00BE7012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5" w:history="1">
              <w:r w:rsidRPr="00BE7012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 xml:space="preserve">Návrh rozhodnutí Rady o postoji, který má být jménem Unie přijat na Světovém fóru pro harmonizaci předpisů o vozidlech Evropské </w:t>
              </w:r>
              <w:r w:rsidRPr="00BE7012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lastRenderedPageBreak/>
                <w:t>hospodářské komise Organizace spojených národů, pokud jde o návrhy předpisů OSN z března 2026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FF106" w14:textId="5FF256CF" w:rsidR="005F4AEB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D65774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PS </w:t>
            </w:r>
            <w:proofErr w:type="gramStart"/>
            <w:r w:rsidRPr="00D65774">
              <w:rPr>
                <w:rFonts w:ascii="Times New Roman" w:eastAsia="Times New Roman" w:hAnsi="Times New Roman" w:cs="Times New Roman"/>
                <w:lang w:eastAsia="zh-CN"/>
              </w:rPr>
              <w:t xml:space="preserve">G7 - </w:t>
            </w:r>
            <w:r w:rsidR="005F4AEB" w:rsidRPr="00D65774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5F4AEB" w:rsidRPr="00D65774">
              <w:rPr>
                <w:rFonts w:ascii="Times New Roman" w:eastAsia="Times New Roman" w:hAnsi="Times New Roman" w:cs="Times New Roman"/>
                <w:lang w:eastAsia="zh-CN"/>
              </w:rPr>
              <w:t>/MD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212F3B" w14:textId="2569B9BF" w:rsidR="005F4AEB" w:rsidRPr="00B817C7" w:rsidRDefault="00A8248C" w:rsidP="00A63C71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Součástí EU legislativy v rámci schvalování vozidel je velké množství předpisů OSN, které jsou zapracovány do unijní legislativy. V současné době existuje cca 170 technických předpisů OSN, které jsou pravidelně aktualizovány a případně jsou vytvářeny i nové předpisy. Výsledné hlasování o těchto předpisech probíhá v rámci skupiny WP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29 (Světové fórum pro harmonizaci předpisů týkajících se vozidel), kterého se účastní nejen zástupci signatářských států, ale i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 xml:space="preserve"> EU. Postoje, které mají být jménem EU na WP.29 přijímány, jsou </w:t>
            </w:r>
            <w:r w:rsidR="003C1DC6">
              <w:rPr>
                <w:rFonts w:eastAsiaTheme="minorHAnsi"/>
                <w:sz w:val="22"/>
                <w:szCs w:val="22"/>
                <w:lang w:eastAsia="en-US"/>
              </w:rPr>
              <w:t xml:space="preserve">také dále 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projednávány v rámci PS G7.</w:t>
            </w:r>
          </w:p>
          <w:p w14:paraId="58BE4BBE" w14:textId="0E0E38D9" w:rsidR="00877225" w:rsidRPr="00B817C7" w:rsidRDefault="00D55B3A" w:rsidP="0074094B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Předmětný návrh rozhodnutí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,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který </w:t>
            </w:r>
            <w:r w:rsidR="00AD788E">
              <w:rPr>
                <w:i/>
                <w:iCs/>
                <w:sz w:val="20"/>
                <w:szCs w:val="20"/>
              </w:rPr>
              <w:t>má být</w:t>
            </w:r>
            <w:r w:rsidR="00D65774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jménem </w:t>
            </w:r>
            <w:r w:rsidR="00683549" w:rsidRPr="00B817C7">
              <w:rPr>
                <w:i/>
                <w:iCs/>
                <w:sz w:val="20"/>
                <w:szCs w:val="20"/>
              </w:rPr>
              <w:t>EU</w:t>
            </w:r>
            <w:r w:rsidR="004554D9" w:rsidRPr="00B817C7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>zaujat na Světovém fóru pro harmonizaci předpisů pro vozidla Evropské hospodářské komise OSN (WP.29</w:t>
            </w:r>
            <w:r w:rsidR="006E74D3" w:rsidRPr="009F6C2B">
              <w:rPr>
                <w:i/>
                <w:iCs/>
                <w:sz w:val="20"/>
                <w:szCs w:val="20"/>
              </w:rPr>
              <w:t>)</w:t>
            </w:r>
            <w:r w:rsidR="006E74D3" w:rsidRPr="00877225">
              <w:rPr>
                <w:i/>
                <w:iCs/>
                <w:sz w:val="20"/>
                <w:szCs w:val="20"/>
              </w:rPr>
              <w:t xml:space="preserve">, které </w:t>
            </w:r>
            <w:r w:rsidR="00AD788E">
              <w:rPr>
                <w:i/>
                <w:iCs/>
                <w:sz w:val="20"/>
                <w:szCs w:val="20"/>
              </w:rPr>
              <w:t>se uskuteční</w:t>
            </w:r>
            <w:r w:rsidR="006E74D3" w:rsidRPr="00877225">
              <w:rPr>
                <w:i/>
                <w:iCs/>
                <w:sz w:val="20"/>
                <w:szCs w:val="20"/>
              </w:rPr>
              <w:t xml:space="preserve"> v Ženevě ve dnech </w:t>
            </w:r>
            <w:r w:rsidR="00AD788E">
              <w:rPr>
                <w:i/>
                <w:iCs/>
                <w:sz w:val="20"/>
                <w:szCs w:val="20"/>
              </w:rPr>
              <w:t>10. -11. 3. 2026</w:t>
            </w:r>
            <w:r w:rsidR="00683549" w:rsidRPr="00B817C7">
              <w:rPr>
                <w:i/>
                <w:iCs/>
                <w:sz w:val="20"/>
                <w:szCs w:val="20"/>
              </w:rPr>
              <w:t xml:space="preserve">, </w:t>
            </w:r>
            <w:r w:rsidR="00BE7012" w:rsidRPr="00BE7012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zahrnuje celkem 33 návrhů změn předpisů OSN </w:t>
            </w:r>
            <w:r w:rsidR="00BE7012" w:rsidRPr="00BE7012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lastRenderedPageBreak/>
              <w:t>v návaznosti na technický pokrok, 4 návrhy nových předpisů OSN, návrh na změnu konsolidovaného rozhodnutí o společných specifikacích kategorií světel, návrh na změnu přílohy 2 k Dohodě z roku 1958 a žádost o povolení zahájit práci na fázi 3 neformální pracovní skupiny pro bezpečnost elektrických vozidel. K návrhu nevznesl žádný ČS na úrovni PS G7 připomínky, nyní bude následovat schválení CRP a Radou na počátku března 2026, poté bude text zveřejněn.</w:t>
            </w:r>
          </w:p>
        </w:tc>
      </w:tr>
    </w:tbl>
    <w:p w14:paraId="2597862D" w14:textId="2F6EF88B" w:rsidR="007D78E5" w:rsidRPr="00B817C7" w:rsidRDefault="007D78E5" w:rsidP="005F4AEB">
      <w:pPr>
        <w:spacing w:after="0" w:line="240" w:lineRule="auto"/>
        <w:rPr>
          <w:rStyle w:val="Siln"/>
          <w:rFonts w:ascii="Times New Roman" w:eastAsiaTheme="majorEastAsia" w:hAnsi="Times New Roman" w:cs="Times New Roman"/>
          <w:b w:val="0"/>
          <w:bCs w:val="0"/>
          <w:u w:val="single"/>
          <w:lang w:eastAsia="cs-CZ"/>
        </w:rPr>
      </w:pPr>
    </w:p>
    <w:sectPr w:rsidR="007D78E5" w:rsidRPr="00B817C7" w:rsidSect="00711EE5">
      <w:footerReference w:type="default" r:id="rId1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F4C6D" w14:textId="77777777" w:rsidR="003B175E" w:rsidRPr="00F47881" w:rsidRDefault="003B175E" w:rsidP="00671A90">
      <w:pPr>
        <w:spacing w:after="0" w:line="240" w:lineRule="auto"/>
      </w:pPr>
      <w:r w:rsidRPr="00F47881">
        <w:separator/>
      </w:r>
    </w:p>
  </w:endnote>
  <w:endnote w:type="continuationSeparator" w:id="0">
    <w:p w14:paraId="09FD7FA5" w14:textId="77777777" w:rsidR="003B175E" w:rsidRPr="00F47881" w:rsidRDefault="003B175E" w:rsidP="00671A90">
      <w:pPr>
        <w:spacing w:after="0" w:line="240" w:lineRule="auto"/>
      </w:pPr>
      <w:r w:rsidRPr="00F478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34635"/>
      <w:docPartObj>
        <w:docPartGallery w:val="Page Numbers (Bottom of Page)"/>
        <w:docPartUnique/>
      </w:docPartObj>
    </w:sdtPr>
    <w:sdtContent>
      <w:p w14:paraId="73096676" w14:textId="1AECD59F" w:rsidR="007C1983" w:rsidRDefault="007C198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1D0EED" w14:textId="77777777" w:rsidR="007C1983" w:rsidRDefault="007C198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4A50A" w14:textId="77777777" w:rsidR="003B175E" w:rsidRPr="00F47881" w:rsidRDefault="003B175E" w:rsidP="00671A90">
      <w:pPr>
        <w:spacing w:after="0" w:line="240" w:lineRule="auto"/>
      </w:pPr>
      <w:r w:rsidRPr="00F47881">
        <w:separator/>
      </w:r>
    </w:p>
  </w:footnote>
  <w:footnote w:type="continuationSeparator" w:id="0">
    <w:p w14:paraId="0F579B86" w14:textId="77777777" w:rsidR="003B175E" w:rsidRPr="00F47881" w:rsidRDefault="003B175E" w:rsidP="00671A90">
      <w:pPr>
        <w:spacing w:after="0" w:line="240" w:lineRule="auto"/>
      </w:pPr>
      <w:r w:rsidRPr="00F4788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10121"/>
    <w:multiLevelType w:val="hybridMultilevel"/>
    <w:tmpl w:val="CC347C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D161A"/>
    <w:multiLevelType w:val="hybridMultilevel"/>
    <w:tmpl w:val="CA743C78"/>
    <w:lvl w:ilvl="0" w:tplc="FCC49E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93505"/>
    <w:multiLevelType w:val="hybridMultilevel"/>
    <w:tmpl w:val="6E4A7140"/>
    <w:lvl w:ilvl="0" w:tplc="B9CE91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03938"/>
    <w:multiLevelType w:val="hybridMultilevel"/>
    <w:tmpl w:val="11D68F80"/>
    <w:lvl w:ilvl="0" w:tplc="225EFB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B36D5"/>
    <w:multiLevelType w:val="hybridMultilevel"/>
    <w:tmpl w:val="F1366336"/>
    <w:lvl w:ilvl="0" w:tplc="8AE63F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EA092B"/>
    <w:multiLevelType w:val="hybridMultilevel"/>
    <w:tmpl w:val="C71895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F73CE7"/>
    <w:multiLevelType w:val="hybridMultilevel"/>
    <w:tmpl w:val="6A8A9C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183E37"/>
    <w:multiLevelType w:val="multilevel"/>
    <w:tmpl w:val="111A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8204FD"/>
    <w:multiLevelType w:val="multilevel"/>
    <w:tmpl w:val="1856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366812">
    <w:abstractNumId w:val="8"/>
  </w:num>
  <w:num w:numId="2" w16cid:durableId="1906604990">
    <w:abstractNumId w:val="7"/>
  </w:num>
  <w:num w:numId="3" w16cid:durableId="1829126413">
    <w:abstractNumId w:val="5"/>
  </w:num>
  <w:num w:numId="4" w16cid:durableId="110517551">
    <w:abstractNumId w:val="6"/>
  </w:num>
  <w:num w:numId="5" w16cid:durableId="2005552624">
    <w:abstractNumId w:val="2"/>
  </w:num>
  <w:num w:numId="6" w16cid:durableId="1495412122">
    <w:abstractNumId w:val="0"/>
  </w:num>
  <w:num w:numId="7" w16cid:durableId="1285889462">
    <w:abstractNumId w:val="1"/>
  </w:num>
  <w:num w:numId="8" w16cid:durableId="1458796145">
    <w:abstractNumId w:val="3"/>
  </w:num>
  <w:num w:numId="9" w16cid:durableId="19531297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F7"/>
    <w:rsid w:val="00006B93"/>
    <w:rsid w:val="00006FB7"/>
    <w:rsid w:val="00013883"/>
    <w:rsid w:val="000149E4"/>
    <w:rsid w:val="0002074D"/>
    <w:rsid w:val="000214CF"/>
    <w:rsid w:val="000262B0"/>
    <w:rsid w:val="00036213"/>
    <w:rsid w:val="0004687F"/>
    <w:rsid w:val="00047425"/>
    <w:rsid w:val="00073143"/>
    <w:rsid w:val="000761CC"/>
    <w:rsid w:val="00082258"/>
    <w:rsid w:val="00084DEB"/>
    <w:rsid w:val="00092523"/>
    <w:rsid w:val="000B155E"/>
    <w:rsid w:val="000B4372"/>
    <w:rsid w:val="000C47E3"/>
    <w:rsid w:val="000D2D3B"/>
    <w:rsid w:val="000D6DCA"/>
    <w:rsid w:val="000E7087"/>
    <w:rsid w:val="000F6C41"/>
    <w:rsid w:val="000F7AA8"/>
    <w:rsid w:val="001062A8"/>
    <w:rsid w:val="00107821"/>
    <w:rsid w:val="00110449"/>
    <w:rsid w:val="00111ACD"/>
    <w:rsid w:val="00122F3C"/>
    <w:rsid w:val="00130476"/>
    <w:rsid w:val="0013151F"/>
    <w:rsid w:val="00133885"/>
    <w:rsid w:val="00155A5D"/>
    <w:rsid w:val="00157603"/>
    <w:rsid w:val="00167A4C"/>
    <w:rsid w:val="00173334"/>
    <w:rsid w:val="0018512D"/>
    <w:rsid w:val="00186256"/>
    <w:rsid w:val="00190B25"/>
    <w:rsid w:val="00190D80"/>
    <w:rsid w:val="001910A1"/>
    <w:rsid w:val="001934B2"/>
    <w:rsid w:val="001A0D7E"/>
    <w:rsid w:val="001A287E"/>
    <w:rsid w:val="001B0387"/>
    <w:rsid w:val="001C4736"/>
    <w:rsid w:val="001C6188"/>
    <w:rsid w:val="001D17CD"/>
    <w:rsid w:val="001D1CFA"/>
    <w:rsid w:val="001D5677"/>
    <w:rsid w:val="001E3815"/>
    <w:rsid w:val="001E3E29"/>
    <w:rsid w:val="001E49C1"/>
    <w:rsid w:val="00200AAC"/>
    <w:rsid w:val="00200DC5"/>
    <w:rsid w:val="002101BF"/>
    <w:rsid w:val="002103EE"/>
    <w:rsid w:val="00210E21"/>
    <w:rsid w:val="002131C0"/>
    <w:rsid w:val="002241FB"/>
    <w:rsid w:val="00225B03"/>
    <w:rsid w:val="00226DA2"/>
    <w:rsid w:val="00231E8A"/>
    <w:rsid w:val="002344CC"/>
    <w:rsid w:val="002421A2"/>
    <w:rsid w:val="002433A1"/>
    <w:rsid w:val="00247576"/>
    <w:rsid w:val="0025389B"/>
    <w:rsid w:val="00256083"/>
    <w:rsid w:val="00264BD0"/>
    <w:rsid w:val="00267562"/>
    <w:rsid w:val="00270D2E"/>
    <w:rsid w:val="00275199"/>
    <w:rsid w:val="0027721B"/>
    <w:rsid w:val="00280758"/>
    <w:rsid w:val="002A4AC9"/>
    <w:rsid w:val="002F0E1B"/>
    <w:rsid w:val="002F33AC"/>
    <w:rsid w:val="002F386F"/>
    <w:rsid w:val="0030455E"/>
    <w:rsid w:val="0030597F"/>
    <w:rsid w:val="00306F0C"/>
    <w:rsid w:val="00310C7D"/>
    <w:rsid w:val="00312DA5"/>
    <w:rsid w:val="00315018"/>
    <w:rsid w:val="003200B0"/>
    <w:rsid w:val="00323B55"/>
    <w:rsid w:val="00326663"/>
    <w:rsid w:val="00334D35"/>
    <w:rsid w:val="00334F0E"/>
    <w:rsid w:val="00335576"/>
    <w:rsid w:val="00336C6E"/>
    <w:rsid w:val="0035734A"/>
    <w:rsid w:val="00361FEC"/>
    <w:rsid w:val="00373D62"/>
    <w:rsid w:val="00374945"/>
    <w:rsid w:val="00381F7B"/>
    <w:rsid w:val="00385BEC"/>
    <w:rsid w:val="00386AAE"/>
    <w:rsid w:val="003B175E"/>
    <w:rsid w:val="003B3B37"/>
    <w:rsid w:val="003C1DC6"/>
    <w:rsid w:val="003C334D"/>
    <w:rsid w:val="003D6FE1"/>
    <w:rsid w:val="003E359A"/>
    <w:rsid w:val="003F0FD5"/>
    <w:rsid w:val="00404EE8"/>
    <w:rsid w:val="00423506"/>
    <w:rsid w:val="00427688"/>
    <w:rsid w:val="00427E75"/>
    <w:rsid w:val="00440162"/>
    <w:rsid w:val="004441BB"/>
    <w:rsid w:val="0044674E"/>
    <w:rsid w:val="00450BAD"/>
    <w:rsid w:val="00453B64"/>
    <w:rsid w:val="004549E4"/>
    <w:rsid w:val="004554D9"/>
    <w:rsid w:val="004658A6"/>
    <w:rsid w:val="00481702"/>
    <w:rsid w:val="00491916"/>
    <w:rsid w:val="00494275"/>
    <w:rsid w:val="00494A27"/>
    <w:rsid w:val="004A1E50"/>
    <w:rsid w:val="004A2182"/>
    <w:rsid w:val="004A40A9"/>
    <w:rsid w:val="004A63F4"/>
    <w:rsid w:val="004B2D7F"/>
    <w:rsid w:val="004B4FDB"/>
    <w:rsid w:val="004B6FCB"/>
    <w:rsid w:val="004C5A8B"/>
    <w:rsid w:val="004D2241"/>
    <w:rsid w:val="004D35E1"/>
    <w:rsid w:val="004D40AE"/>
    <w:rsid w:val="004D727C"/>
    <w:rsid w:val="004E7022"/>
    <w:rsid w:val="004F5858"/>
    <w:rsid w:val="005021D5"/>
    <w:rsid w:val="005054BA"/>
    <w:rsid w:val="00515075"/>
    <w:rsid w:val="00517636"/>
    <w:rsid w:val="00526B50"/>
    <w:rsid w:val="00545A38"/>
    <w:rsid w:val="00555389"/>
    <w:rsid w:val="0055618E"/>
    <w:rsid w:val="00570754"/>
    <w:rsid w:val="005707DD"/>
    <w:rsid w:val="00572261"/>
    <w:rsid w:val="005765CC"/>
    <w:rsid w:val="00597D0B"/>
    <w:rsid w:val="005B1742"/>
    <w:rsid w:val="005B556B"/>
    <w:rsid w:val="005D1597"/>
    <w:rsid w:val="005E0CE5"/>
    <w:rsid w:val="005F4AEB"/>
    <w:rsid w:val="00602681"/>
    <w:rsid w:val="00604BE8"/>
    <w:rsid w:val="00622A39"/>
    <w:rsid w:val="00634124"/>
    <w:rsid w:val="00644169"/>
    <w:rsid w:val="0064462F"/>
    <w:rsid w:val="006472ED"/>
    <w:rsid w:val="00651892"/>
    <w:rsid w:val="00671A90"/>
    <w:rsid w:val="00675E18"/>
    <w:rsid w:val="00677344"/>
    <w:rsid w:val="0067793D"/>
    <w:rsid w:val="00683549"/>
    <w:rsid w:val="00687072"/>
    <w:rsid w:val="006A167C"/>
    <w:rsid w:val="006A3B52"/>
    <w:rsid w:val="006A5248"/>
    <w:rsid w:val="006A702B"/>
    <w:rsid w:val="006B3578"/>
    <w:rsid w:val="006B3F9D"/>
    <w:rsid w:val="006B58EF"/>
    <w:rsid w:val="006C4649"/>
    <w:rsid w:val="006C59AC"/>
    <w:rsid w:val="006D793E"/>
    <w:rsid w:val="006E3E8B"/>
    <w:rsid w:val="006E74D3"/>
    <w:rsid w:val="006F34CA"/>
    <w:rsid w:val="006F435F"/>
    <w:rsid w:val="006F730E"/>
    <w:rsid w:val="00700914"/>
    <w:rsid w:val="00702D41"/>
    <w:rsid w:val="00706CC0"/>
    <w:rsid w:val="007108AF"/>
    <w:rsid w:val="007114DE"/>
    <w:rsid w:val="00711EE5"/>
    <w:rsid w:val="00720F9F"/>
    <w:rsid w:val="00732B65"/>
    <w:rsid w:val="0074094B"/>
    <w:rsid w:val="00743FE8"/>
    <w:rsid w:val="00767E48"/>
    <w:rsid w:val="00772A88"/>
    <w:rsid w:val="00781155"/>
    <w:rsid w:val="00782A46"/>
    <w:rsid w:val="00783307"/>
    <w:rsid w:val="007920E1"/>
    <w:rsid w:val="007A2FA5"/>
    <w:rsid w:val="007A52D9"/>
    <w:rsid w:val="007B1C97"/>
    <w:rsid w:val="007B535C"/>
    <w:rsid w:val="007B6D1D"/>
    <w:rsid w:val="007B6F4D"/>
    <w:rsid w:val="007C1983"/>
    <w:rsid w:val="007C215D"/>
    <w:rsid w:val="007C6C12"/>
    <w:rsid w:val="007D03A1"/>
    <w:rsid w:val="007D78E5"/>
    <w:rsid w:val="007E0757"/>
    <w:rsid w:val="007E5881"/>
    <w:rsid w:val="007E7C72"/>
    <w:rsid w:val="007F3E05"/>
    <w:rsid w:val="007F3E8A"/>
    <w:rsid w:val="007F4B49"/>
    <w:rsid w:val="007F61B9"/>
    <w:rsid w:val="007F7D28"/>
    <w:rsid w:val="008068D8"/>
    <w:rsid w:val="00831B17"/>
    <w:rsid w:val="00840121"/>
    <w:rsid w:val="00846977"/>
    <w:rsid w:val="00846A36"/>
    <w:rsid w:val="00862950"/>
    <w:rsid w:val="00877225"/>
    <w:rsid w:val="00883871"/>
    <w:rsid w:val="00887558"/>
    <w:rsid w:val="00897E6F"/>
    <w:rsid w:val="008A13DC"/>
    <w:rsid w:val="008A5E41"/>
    <w:rsid w:val="008A6A5C"/>
    <w:rsid w:val="008B07D0"/>
    <w:rsid w:val="008B2681"/>
    <w:rsid w:val="008B2B6D"/>
    <w:rsid w:val="008B2BA4"/>
    <w:rsid w:val="008C0389"/>
    <w:rsid w:val="008C3A01"/>
    <w:rsid w:val="008D1C44"/>
    <w:rsid w:val="008D203F"/>
    <w:rsid w:val="008D6FD5"/>
    <w:rsid w:val="008E4EBC"/>
    <w:rsid w:val="008E62DF"/>
    <w:rsid w:val="008E64C5"/>
    <w:rsid w:val="008E7C95"/>
    <w:rsid w:val="008E7E52"/>
    <w:rsid w:val="008F2F48"/>
    <w:rsid w:val="00903BEA"/>
    <w:rsid w:val="00904F35"/>
    <w:rsid w:val="009103A0"/>
    <w:rsid w:val="0091164E"/>
    <w:rsid w:val="00912CEE"/>
    <w:rsid w:val="00915382"/>
    <w:rsid w:val="00915492"/>
    <w:rsid w:val="0092302A"/>
    <w:rsid w:val="0093519A"/>
    <w:rsid w:val="009373B6"/>
    <w:rsid w:val="009403F4"/>
    <w:rsid w:val="009461FF"/>
    <w:rsid w:val="00961F49"/>
    <w:rsid w:val="00965CB9"/>
    <w:rsid w:val="00971EA3"/>
    <w:rsid w:val="0097286A"/>
    <w:rsid w:val="00973413"/>
    <w:rsid w:val="00975E6C"/>
    <w:rsid w:val="009807C6"/>
    <w:rsid w:val="009828D9"/>
    <w:rsid w:val="00982EC5"/>
    <w:rsid w:val="00986033"/>
    <w:rsid w:val="00991E03"/>
    <w:rsid w:val="00995D36"/>
    <w:rsid w:val="009A11FE"/>
    <w:rsid w:val="009A2D1B"/>
    <w:rsid w:val="009B6622"/>
    <w:rsid w:val="009D2DB9"/>
    <w:rsid w:val="009E7FC9"/>
    <w:rsid w:val="009F1927"/>
    <w:rsid w:val="009F6C2B"/>
    <w:rsid w:val="00A07487"/>
    <w:rsid w:val="00A116D3"/>
    <w:rsid w:val="00A12C3C"/>
    <w:rsid w:val="00A62519"/>
    <w:rsid w:val="00A636EC"/>
    <w:rsid w:val="00A63C71"/>
    <w:rsid w:val="00A71660"/>
    <w:rsid w:val="00A72BA4"/>
    <w:rsid w:val="00A746E2"/>
    <w:rsid w:val="00A76C6B"/>
    <w:rsid w:val="00A7735D"/>
    <w:rsid w:val="00A8093A"/>
    <w:rsid w:val="00A8248C"/>
    <w:rsid w:val="00A97494"/>
    <w:rsid w:val="00AA16EC"/>
    <w:rsid w:val="00AA1D9D"/>
    <w:rsid w:val="00AB41F7"/>
    <w:rsid w:val="00AB449C"/>
    <w:rsid w:val="00AB5AD4"/>
    <w:rsid w:val="00AC23AB"/>
    <w:rsid w:val="00AC4B08"/>
    <w:rsid w:val="00AD3DC2"/>
    <w:rsid w:val="00AD7385"/>
    <w:rsid w:val="00AD788E"/>
    <w:rsid w:val="00AE0B53"/>
    <w:rsid w:val="00AE4DCC"/>
    <w:rsid w:val="00AF1FF4"/>
    <w:rsid w:val="00B025A4"/>
    <w:rsid w:val="00B14594"/>
    <w:rsid w:val="00B17025"/>
    <w:rsid w:val="00B20C56"/>
    <w:rsid w:val="00B32563"/>
    <w:rsid w:val="00B33701"/>
    <w:rsid w:val="00B46237"/>
    <w:rsid w:val="00B46314"/>
    <w:rsid w:val="00B53258"/>
    <w:rsid w:val="00B5705C"/>
    <w:rsid w:val="00B65F9A"/>
    <w:rsid w:val="00B817C7"/>
    <w:rsid w:val="00B872A5"/>
    <w:rsid w:val="00B95955"/>
    <w:rsid w:val="00B96FE0"/>
    <w:rsid w:val="00BB010C"/>
    <w:rsid w:val="00BB0B91"/>
    <w:rsid w:val="00BC180B"/>
    <w:rsid w:val="00BC2B1D"/>
    <w:rsid w:val="00BD32AA"/>
    <w:rsid w:val="00BD7B56"/>
    <w:rsid w:val="00BE1E7F"/>
    <w:rsid w:val="00BE58D7"/>
    <w:rsid w:val="00BE7012"/>
    <w:rsid w:val="00BF1E20"/>
    <w:rsid w:val="00C01E7F"/>
    <w:rsid w:val="00C02C78"/>
    <w:rsid w:val="00C07EB9"/>
    <w:rsid w:val="00C11D0C"/>
    <w:rsid w:val="00C1780F"/>
    <w:rsid w:val="00C26B2D"/>
    <w:rsid w:val="00C31A64"/>
    <w:rsid w:val="00C34210"/>
    <w:rsid w:val="00C40088"/>
    <w:rsid w:val="00C52AE4"/>
    <w:rsid w:val="00C55F1A"/>
    <w:rsid w:val="00C60D7F"/>
    <w:rsid w:val="00C60FF9"/>
    <w:rsid w:val="00C7231C"/>
    <w:rsid w:val="00C77322"/>
    <w:rsid w:val="00C84E7E"/>
    <w:rsid w:val="00C8523D"/>
    <w:rsid w:val="00C92F2C"/>
    <w:rsid w:val="00CA4EBF"/>
    <w:rsid w:val="00CB0286"/>
    <w:rsid w:val="00CB6F66"/>
    <w:rsid w:val="00CC30F7"/>
    <w:rsid w:val="00CC6F5D"/>
    <w:rsid w:val="00CC7551"/>
    <w:rsid w:val="00CC7A75"/>
    <w:rsid w:val="00CD0106"/>
    <w:rsid w:val="00CD03D7"/>
    <w:rsid w:val="00CD1894"/>
    <w:rsid w:val="00CD2170"/>
    <w:rsid w:val="00CF3CBE"/>
    <w:rsid w:val="00CF61EC"/>
    <w:rsid w:val="00CF68EC"/>
    <w:rsid w:val="00CF6EBF"/>
    <w:rsid w:val="00D0427D"/>
    <w:rsid w:val="00D0768D"/>
    <w:rsid w:val="00D1306B"/>
    <w:rsid w:val="00D14770"/>
    <w:rsid w:val="00D17DAF"/>
    <w:rsid w:val="00D2060A"/>
    <w:rsid w:val="00D25B9F"/>
    <w:rsid w:val="00D27C77"/>
    <w:rsid w:val="00D3093B"/>
    <w:rsid w:val="00D32282"/>
    <w:rsid w:val="00D377DA"/>
    <w:rsid w:val="00D40572"/>
    <w:rsid w:val="00D412B7"/>
    <w:rsid w:val="00D41888"/>
    <w:rsid w:val="00D46331"/>
    <w:rsid w:val="00D47685"/>
    <w:rsid w:val="00D55B3A"/>
    <w:rsid w:val="00D65774"/>
    <w:rsid w:val="00D677A3"/>
    <w:rsid w:val="00D71B96"/>
    <w:rsid w:val="00D72163"/>
    <w:rsid w:val="00D80993"/>
    <w:rsid w:val="00D811BF"/>
    <w:rsid w:val="00D81833"/>
    <w:rsid w:val="00D81B3B"/>
    <w:rsid w:val="00D91E04"/>
    <w:rsid w:val="00D92F42"/>
    <w:rsid w:val="00D94007"/>
    <w:rsid w:val="00D946E7"/>
    <w:rsid w:val="00DA10A2"/>
    <w:rsid w:val="00DA3E64"/>
    <w:rsid w:val="00DA5E92"/>
    <w:rsid w:val="00DA6007"/>
    <w:rsid w:val="00DA7C3F"/>
    <w:rsid w:val="00DC75C2"/>
    <w:rsid w:val="00E01AA3"/>
    <w:rsid w:val="00E04090"/>
    <w:rsid w:val="00E051C6"/>
    <w:rsid w:val="00E06F19"/>
    <w:rsid w:val="00E074B4"/>
    <w:rsid w:val="00E1505E"/>
    <w:rsid w:val="00E2120F"/>
    <w:rsid w:val="00E341DB"/>
    <w:rsid w:val="00E342AB"/>
    <w:rsid w:val="00E36040"/>
    <w:rsid w:val="00E536F2"/>
    <w:rsid w:val="00EA0C18"/>
    <w:rsid w:val="00EA277F"/>
    <w:rsid w:val="00EA345A"/>
    <w:rsid w:val="00EA6A2C"/>
    <w:rsid w:val="00EC2DF5"/>
    <w:rsid w:val="00ED0BBF"/>
    <w:rsid w:val="00EE5AFD"/>
    <w:rsid w:val="00EF13A8"/>
    <w:rsid w:val="00F03F4C"/>
    <w:rsid w:val="00F0445B"/>
    <w:rsid w:val="00F046FB"/>
    <w:rsid w:val="00F078A3"/>
    <w:rsid w:val="00F13DBE"/>
    <w:rsid w:val="00F141D9"/>
    <w:rsid w:val="00F34EC7"/>
    <w:rsid w:val="00F35A5E"/>
    <w:rsid w:val="00F4217F"/>
    <w:rsid w:val="00F44A12"/>
    <w:rsid w:val="00F44B7B"/>
    <w:rsid w:val="00F47881"/>
    <w:rsid w:val="00F53753"/>
    <w:rsid w:val="00F61CC9"/>
    <w:rsid w:val="00F631E4"/>
    <w:rsid w:val="00F671FD"/>
    <w:rsid w:val="00F80AAD"/>
    <w:rsid w:val="00F80DE2"/>
    <w:rsid w:val="00F90FCA"/>
    <w:rsid w:val="00F97FC3"/>
    <w:rsid w:val="00FA206C"/>
    <w:rsid w:val="00FB6A87"/>
    <w:rsid w:val="00FC09EC"/>
    <w:rsid w:val="00FC1830"/>
    <w:rsid w:val="00FE4159"/>
    <w:rsid w:val="00FF0AD4"/>
    <w:rsid w:val="00FF102F"/>
    <w:rsid w:val="00FF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26CB"/>
  <w15:chartTrackingRefBased/>
  <w15:docId w15:val="{AEA8D64D-DC6B-42DF-8BA9-936DCC24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94275"/>
  </w:style>
  <w:style w:type="paragraph" w:styleId="Nadpis1">
    <w:name w:val="heading 1"/>
    <w:basedOn w:val="Normln"/>
    <w:link w:val="Nadpis1Char"/>
    <w:uiPriority w:val="9"/>
    <w:qFormat/>
    <w:rsid w:val="00CC3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C30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C30F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C30F7"/>
    <w:rPr>
      <w:color w:val="0000FF"/>
      <w:u w:val="single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C30F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iln">
    <w:name w:val="Strong"/>
    <w:basedOn w:val="Standardnpsmoodstavce"/>
    <w:uiPriority w:val="22"/>
    <w:qFormat/>
    <w:rsid w:val="00CC30F7"/>
    <w:rPr>
      <w:b/>
      <w:bCs/>
    </w:rPr>
  </w:style>
  <w:style w:type="character" w:customStyle="1" w:styleId="vyskyt">
    <w:name w:val="vyskyt"/>
    <w:basedOn w:val="Standardnpsmoodstavce"/>
    <w:rsid w:val="00CC30F7"/>
  </w:style>
  <w:style w:type="paragraph" w:styleId="Normlnweb">
    <w:name w:val="Normal (Web)"/>
    <w:basedOn w:val="Normln"/>
    <w:uiPriority w:val="99"/>
    <w:unhideWhenUsed/>
    <w:rsid w:val="00CC3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C30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C30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C30F7"/>
    <w:rPr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CC30F7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C30F7"/>
    <w:rPr>
      <w:color w:val="605E5C"/>
      <w:shd w:val="clear" w:color="auto" w:fill="E1DFDD"/>
    </w:rPr>
  </w:style>
  <w:style w:type="character" w:customStyle="1" w:styleId="normaltextrun">
    <w:name w:val="normaltextrun"/>
    <w:basedOn w:val="Standardnpsmoodstavce"/>
    <w:rsid w:val="00AA1D9D"/>
  </w:style>
  <w:style w:type="character" w:customStyle="1" w:styleId="eop">
    <w:name w:val="eop"/>
    <w:basedOn w:val="Standardnpsmoodstavce"/>
    <w:rsid w:val="00AA1D9D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A1D9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A1D9D"/>
    <w:rPr>
      <w:b/>
      <w:bCs/>
      <w:sz w:val="20"/>
      <w:szCs w:val="20"/>
    </w:rPr>
  </w:style>
  <w:style w:type="character" w:customStyle="1" w:styleId="superscript">
    <w:name w:val="superscript"/>
    <w:basedOn w:val="Standardnpsmoodstavce"/>
    <w:rsid w:val="0044674E"/>
  </w:style>
  <w:style w:type="paragraph" w:styleId="Revize">
    <w:name w:val="Revision"/>
    <w:hidden/>
    <w:uiPriority w:val="99"/>
    <w:semiHidden/>
    <w:rsid w:val="00555389"/>
    <w:pPr>
      <w:spacing w:after="0" w:line="240" w:lineRule="auto"/>
    </w:pPr>
  </w:style>
  <w:style w:type="paragraph" w:customStyle="1" w:styleId="li">
    <w:name w:val="li"/>
    <w:basedOn w:val="Normln"/>
    <w:rsid w:val="0011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um">
    <w:name w:val="num"/>
    <w:basedOn w:val="Standardnpsmoodstavce"/>
    <w:rsid w:val="00111ACD"/>
  </w:style>
  <w:style w:type="paragraph" w:customStyle="1" w:styleId="ChapterTitle">
    <w:name w:val="ChapterTitle"/>
    <w:basedOn w:val="Normln"/>
    <w:next w:val="Normln"/>
    <w:rsid w:val="00EA6A2C"/>
    <w:pPr>
      <w:keepNext/>
      <w:spacing w:before="120" w:after="360" w:line="240" w:lineRule="auto"/>
      <w:jc w:val="center"/>
    </w:pPr>
    <w:rPr>
      <w:rFonts w:ascii="Times New Roman" w:hAnsi="Times New Roman" w:cs="Times New Roman"/>
      <w:b/>
      <w:sz w:val="32"/>
    </w:rPr>
  </w:style>
  <w:style w:type="paragraph" w:styleId="Odstavecseseznamem">
    <w:name w:val="List Paragraph"/>
    <w:basedOn w:val="Normln"/>
    <w:uiPriority w:val="34"/>
    <w:qFormat/>
    <w:rsid w:val="00453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ormln1">
    <w:name w:val="Normální1"/>
    <w:basedOn w:val="Normln"/>
    <w:rsid w:val="00991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aliases w:val="Text pozn. pod čarou_martin_ang,Schriftart: 9 pt,Schriftart: 10 pt,Schriftart: 8 pt,Char,Text pozn. pod čarou1,Char Char Char1,Char Char1,Footnote Text Char1,Footnote Char,Fußnote Char,FSR footnote Char"/>
    <w:basedOn w:val="Normln"/>
    <w:link w:val="TextpoznpodarouChar"/>
    <w:uiPriority w:val="99"/>
    <w:unhideWhenUsed/>
    <w:qFormat/>
    <w:rsid w:val="00671A9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Text pozn. pod čarou_martin_ang Char,Schriftart: 9 pt Char,Schriftart: 10 pt Char,Schriftart: 8 pt Char,Char Char,Text pozn. pod čarou1 Char,Char Char Char1 Char,Char Char1 Char,Footnote Text Char1 Char,Footnote Char Char"/>
    <w:basedOn w:val="Standardnpsmoodstavce"/>
    <w:link w:val="Textpoznpodarou"/>
    <w:uiPriority w:val="99"/>
    <w:rsid w:val="00671A90"/>
    <w:rPr>
      <w:sz w:val="20"/>
      <w:szCs w:val="20"/>
    </w:rPr>
  </w:style>
  <w:style w:type="character" w:styleId="Znakapoznpodarou">
    <w:name w:val="footnote reference"/>
    <w:aliases w:val="BVI fnr,Footnote symbol,Char1,Ref,de nota al pie,Footnote,Footnote reference number,Times 10 Point,Exposant 3 Point,EN Footnote Reference,note TESI,Footnote Reference Number,E FNZ,-E Fußnotenzeichen,Footnote#,SUPERS,Footnote call"/>
    <w:link w:val="FootnotesymbolCarZchn"/>
    <w:uiPriority w:val="99"/>
    <w:unhideWhenUsed/>
    <w:qFormat/>
    <w:rsid w:val="00671A90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671A90"/>
    <w:pPr>
      <w:spacing w:line="240" w:lineRule="exact"/>
      <w:jc w:val="both"/>
    </w:pPr>
    <w:rPr>
      <w:vertAlign w:val="superscript"/>
    </w:rPr>
  </w:style>
  <w:style w:type="character" w:customStyle="1" w:styleId="dn">
    <w:name w:val="Žádný"/>
    <w:rsid w:val="004D35E1"/>
  </w:style>
  <w:style w:type="paragraph" w:customStyle="1" w:styleId="paragraph">
    <w:name w:val="paragraph"/>
    <w:basedOn w:val="Normln"/>
    <w:rsid w:val="00A71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1983"/>
  </w:style>
  <w:style w:type="paragraph" w:styleId="Zpat">
    <w:name w:val="footer"/>
    <w:basedOn w:val="Normln"/>
    <w:link w:val="Zpat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1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4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TXT/?uri=CELEX:52024PC0561" TargetMode="External"/><Relationship Id="rId13" Type="http://schemas.openxmlformats.org/officeDocument/2006/relationships/hyperlink" Target="https://www.consilium.europa.eu/cs/press/press-releases/2025/06/10/council-and-parliament-strike-a-deal-to-make-detergents-safer-for-the-population-and-the-environment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ata.consilium.europa.eu/doc/document/ST-10507-2024-INIT/en/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ata.consilium.europa.eu/doc/document/ST-11205-2024-INIT/en/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ur-lex.europa.eu/legal-content/EN/TXT/?uri=celex:52026PC0087" TargetMode="External"/><Relationship Id="rId10" Type="http://schemas.openxmlformats.org/officeDocument/2006/relationships/hyperlink" Target="https://eur-lex.europa.eu/legal-content/EN/TXT/?uri=celex%3A52025PC050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-lex.europa.eu/legal-content/EN/TXT/?uri=celex%3A52025PC0503" TargetMode="External"/><Relationship Id="rId14" Type="http://schemas.openxmlformats.org/officeDocument/2006/relationships/hyperlink" Target="https://www.consilium.europa.eu/en/documents/public-register/public-register-search/?WordsInSubject=detergents&amp;WordsInText=&amp;DocumentNumber=&amp;InterinstitutionalFiles=&amp;DocumentTypes=&amp;DateFrom=&amp;DateTo=&amp;MeetingDateFrom=&amp;MeetingDateTo=&amp;DocumentLanguage=EN&amp;OrderBy=DOCUMENT_DATE+DESC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0510B-10CD-45F1-BA8B-A0B61B6F3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1598</Words>
  <Characters>9431</Characters>
  <Application>Microsoft Office Word</Application>
  <DocSecurity>0</DocSecurity>
  <Lines>78</Lines>
  <Paragraphs>22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Bendová Olga</dc:creator>
  <cp:keywords/>
  <dc:description/>
  <cp:lastModifiedBy>Králová Karolína</cp:lastModifiedBy>
  <cp:revision>3</cp:revision>
  <dcterms:created xsi:type="dcterms:W3CDTF">2026-03-02T12:47:00Z</dcterms:created>
  <dcterms:modified xsi:type="dcterms:W3CDTF">2026-03-02T13:11:00Z</dcterms:modified>
</cp:coreProperties>
</file>