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B7" w14:textId="2E9ADA4A" w:rsidR="00F078A3" w:rsidRPr="00B817C7" w:rsidRDefault="00F078A3" w:rsidP="008E64C5">
      <w:pPr>
        <w:pStyle w:val="Normlnweb"/>
        <w:spacing w:before="0" w:beforeAutospacing="0" w:after="0" w:afterAutospacing="0"/>
        <w:jc w:val="center"/>
        <w:rPr>
          <w:b/>
          <w:bCs/>
          <w:color w:val="212529"/>
          <w:sz w:val="22"/>
          <w:szCs w:val="22"/>
          <w:u w:val="single"/>
        </w:rPr>
      </w:pPr>
      <w:r w:rsidRPr="00B817C7">
        <w:rPr>
          <w:b/>
          <w:bCs/>
          <w:color w:val="212529"/>
          <w:sz w:val="22"/>
          <w:szCs w:val="22"/>
          <w:u w:val="single"/>
        </w:rPr>
        <w:t xml:space="preserve">Aktuální stav agend </w:t>
      </w:r>
      <w:r w:rsidR="00D46331" w:rsidRPr="00B817C7">
        <w:rPr>
          <w:b/>
          <w:bCs/>
          <w:color w:val="212529"/>
          <w:sz w:val="22"/>
          <w:szCs w:val="22"/>
          <w:u w:val="single"/>
        </w:rPr>
        <w:t xml:space="preserve">v gesci ÚNMZ projednávaných </w:t>
      </w:r>
      <w:r w:rsidRPr="00B817C7">
        <w:rPr>
          <w:b/>
          <w:bCs/>
          <w:color w:val="212529"/>
          <w:sz w:val="22"/>
          <w:szCs w:val="22"/>
          <w:u w:val="single"/>
        </w:rPr>
        <w:t xml:space="preserve">v rámci </w:t>
      </w:r>
      <w:r w:rsidR="00CF6EBF" w:rsidRPr="00B817C7">
        <w:rPr>
          <w:b/>
          <w:bCs/>
          <w:color w:val="212529"/>
          <w:sz w:val="22"/>
          <w:szCs w:val="22"/>
          <w:u w:val="single"/>
        </w:rPr>
        <w:t>pracovních orgánů Rady EU</w:t>
      </w:r>
    </w:p>
    <w:p w14:paraId="6E5FAC7A" w14:textId="304CE2C7" w:rsidR="008E7C95" w:rsidRPr="00B817C7" w:rsidRDefault="00F078A3" w:rsidP="008E64C5">
      <w:pPr>
        <w:pStyle w:val="Normlnweb"/>
        <w:spacing w:before="0" w:beforeAutospacing="0" w:after="0" w:afterAutospacing="0"/>
        <w:jc w:val="center"/>
        <w:rPr>
          <w:i/>
          <w:iCs/>
          <w:sz w:val="22"/>
          <w:szCs w:val="22"/>
        </w:rPr>
      </w:pPr>
      <w:r w:rsidRPr="00B817C7">
        <w:rPr>
          <w:i/>
          <w:iCs/>
          <w:sz w:val="22"/>
          <w:szCs w:val="22"/>
        </w:rPr>
        <w:t>(aktualizace</w:t>
      </w:r>
      <w:r w:rsidR="006A3B52" w:rsidRPr="00B817C7">
        <w:rPr>
          <w:i/>
          <w:iCs/>
          <w:sz w:val="22"/>
          <w:szCs w:val="22"/>
        </w:rPr>
        <w:t xml:space="preserve"> k</w:t>
      </w:r>
      <w:r w:rsidR="007B6F4D">
        <w:rPr>
          <w:i/>
          <w:iCs/>
          <w:sz w:val="22"/>
          <w:szCs w:val="22"/>
        </w:rPr>
        <w:t> </w:t>
      </w:r>
      <w:r w:rsidR="008F2659">
        <w:rPr>
          <w:i/>
          <w:iCs/>
          <w:sz w:val="22"/>
          <w:szCs w:val="22"/>
        </w:rPr>
        <w:t>31</w:t>
      </w:r>
      <w:r w:rsidR="007B6F4D">
        <w:rPr>
          <w:i/>
          <w:iCs/>
          <w:sz w:val="22"/>
          <w:szCs w:val="22"/>
        </w:rPr>
        <w:t xml:space="preserve">. </w:t>
      </w:r>
      <w:r w:rsidR="008F2659">
        <w:rPr>
          <w:i/>
          <w:iCs/>
          <w:sz w:val="22"/>
          <w:szCs w:val="22"/>
        </w:rPr>
        <w:t>3</w:t>
      </w:r>
      <w:r w:rsidR="00C11D0C" w:rsidRPr="00B817C7">
        <w:rPr>
          <w:i/>
          <w:iCs/>
          <w:sz w:val="22"/>
          <w:szCs w:val="22"/>
        </w:rPr>
        <w:t>. 202</w:t>
      </w:r>
      <w:r w:rsidR="00373D62">
        <w:rPr>
          <w:i/>
          <w:iCs/>
          <w:sz w:val="22"/>
          <w:szCs w:val="22"/>
        </w:rPr>
        <w:t>6</w:t>
      </w:r>
      <w:r w:rsidRPr="00B817C7">
        <w:rPr>
          <w:i/>
          <w:iCs/>
          <w:sz w:val="22"/>
          <w:szCs w:val="22"/>
        </w:rPr>
        <w:t>)</w:t>
      </w:r>
      <w:bookmarkStart w:id="0" w:name="_Hlk136935953"/>
    </w:p>
    <w:tbl>
      <w:tblPr>
        <w:tblW w:w="15168" w:type="dxa"/>
        <w:jc w:val="center"/>
        <w:tblLayout w:type="fixed"/>
        <w:tblCellMar>
          <w:left w:w="70" w:type="dxa"/>
          <w:right w:w="70" w:type="dxa"/>
        </w:tblCellMar>
        <w:tblLook w:val="0000" w:firstRow="0" w:lastRow="0" w:firstColumn="0" w:lastColumn="0" w:noHBand="0" w:noVBand="0"/>
      </w:tblPr>
      <w:tblGrid>
        <w:gridCol w:w="2400"/>
        <w:gridCol w:w="1701"/>
        <w:gridCol w:w="11067"/>
      </w:tblGrid>
      <w:tr w:rsidR="00BD7B56" w:rsidRPr="00B817C7" w14:paraId="59235C02" w14:textId="0C8B7F76" w:rsidTr="00A63C71">
        <w:trPr>
          <w:trHeight w:val="893"/>
          <w:jc w:val="center"/>
        </w:trPr>
        <w:tc>
          <w:tcPr>
            <w:tcW w:w="2400" w:type="dxa"/>
            <w:tcBorders>
              <w:top w:val="single" w:sz="8" w:space="0" w:color="000000"/>
              <w:left w:val="single" w:sz="8" w:space="0" w:color="000000"/>
              <w:bottom w:val="single" w:sz="8" w:space="0" w:color="000000"/>
            </w:tcBorders>
            <w:vAlign w:val="center"/>
          </w:tcPr>
          <w:p w14:paraId="6768C81E"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Návrh</w:t>
            </w:r>
          </w:p>
        </w:tc>
        <w:tc>
          <w:tcPr>
            <w:tcW w:w="1701" w:type="dxa"/>
            <w:tcBorders>
              <w:top w:val="single" w:sz="8" w:space="0" w:color="000000"/>
              <w:left w:val="single" w:sz="8" w:space="0" w:color="000000"/>
              <w:bottom w:val="single" w:sz="8" w:space="0" w:color="000000"/>
            </w:tcBorders>
            <w:vAlign w:val="center"/>
          </w:tcPr>
          <w:p w14:paraId="39D21438" w14:textId="2ABDB701"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Gestor</w:t>
            </w:r>
          </w:p>
          <w:p w14:paraId="4B5E82B5"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(za PS/za předpis)</w:t>
            </w:r>
          </w:p>
        </w:tc>
        <w:tc>
          <w:tcPr>
            <w:tcW w:w="11067" w:type="dxa"/>
            <w:tcBorders>
              <w:top w:val="single" w:sz="8" w:space="0" w:color="000000"/>
              <w:left w:val="single" w:sz="8" w:space="0" w:color="000000"/>
              <w:bottom w:val="single" w:sz="8" w:space="0" w:color="000000"/>
              <w:right w:val="single" w:sz="8" w:space="0" w:color="000000"/>
            </w:tcBorders>
            <w:vAlign w:val="center"/>
          </w:tcPr>
          <w:p w14:paraId="03C935D8"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Stav projednávání</w:t>
            </w:r>
          </w:p>
        </w:tc>
      </w:tr>
      <w:tr w:rsidR="00BD7B56" w:rsidRPr="00B817C7" w14:paraId="13464B05" w14:textId="6FDC2C3C" w:rsidTr="00A63C71">
        <w:trPr>
          <w:trHeight w:val="699"/>
          <w:jc w:val="center"/>
        </w:trPr>
        <w:tc>
          <w:tcPr>
            <w:tcW w:w="2400" w:type="dxa"/>
            <w:tcBorders>
              <w:top w:val="single" w:sz="4" w:space="0" w:color="000000"/>
              <w:left w:val="single" w:sz="8" w:space="0" w:color="000000"/>
              <w:bottom w:val="single" w:sz="4" w:space="0" w:color="000000"/>
            </w:tcBorders>
          </w:tcPr>
          <w:p w14:paraId="752E9089" w14:textId="571C5C6B" w:rsidR="00BD7B56" w:rsidRPr="00B817C7" w:rsidRDefault="00BD7B56" w:rsidP="00A63C71">
            <w:pPr>
              <w:widowControl w:val="0"/>
              <w:spacing w:after="0" w:line="240" w:lineRule="auto"/>
              <w:jc w:val="both"/>
              <w:rPr>
                <w:rFonts w:ascii="Times New Roman" w:hAnsi="Times New Roman" w:cs="Times New Roman"/>
                <w:b/>
                <w:bCs/>
              </w:rPr>
            </w:pPr>
            <w:hyperlink r:id="rId8" w:history="1">
              <w:r w:rsidRPr="00B817C7">
                <w:rPr>
                  <w:rStyle w:val="Hypertextovodkaz"/>
                  <w:rFonts w:ascii="Times New Roman" w:hAnsi="Times New Roman" w:cs="Times New Roman"/>
                  <w:b/>
                  <w:bCs/>
                </w:rPr>
                <w:t>Návrh směrnice Evropského parlamentu a Rady, kterou se mění směrnice 2014/32/EU, pokud jde o dobíjecí zařízení elektrických vozidel, výdejní stojany stlačeného plynu a elektroměry, plynoměry a měřidla tepelné energie</w:t>
              </w:r>
            </w:hyperlink>
          </w:p>
        </w:tc>
        <w:tc>
          <w:tcPr>
            <w:tcW w:w="1701" w:type="dxa"/>
            <w:tcBorders>
              <w:top w:val="single" w:sz="4" w:space="0" w:color="000000"/>
              <w:left w:val="single" w:sz="4" w:space="0" w:color="000000"/>
              <w:bottom w:val="single" w:sz="4" w:space="0" w:color="000000"/>
            </w:tcBorders>
          </w:tcPr>
          <w:p w14:paraId="166BC026" w14:textId="2D49FAA0" w:rsidR="00BD7B56" w:rsidRPr="00B817C7" w:rsidRDefault="00CF6EBF" w:rsidP="00A63C71">
            <w:pPr>
              <w:widowControl w:val="0"/>
              <w:suppressAutoHyphens/>
              <w:spacing w:after="0" w:line="240" w:lineRule="auto"/>
              <w:jc w:val="center"/>
              <w:rPr>
                <w:rFonts w:ascii="Times New Roman" w:eastAsia="Times New Roman" w:hAnsi="Times New Roman" w:cs="Times New Roman"/>
                <w:lang w:eastAsia="zh-CN"/>
              </w:rPr>
            </w:pPr>
            <w:r w:rsidRPr="002131C0">
              <w:rPr>
                <w:rFonts w:ascii="Times New Roman" w:eastAsia="Times New Roman" w:hAnsi="Times New Roman" w:cs="Times New Roman"/>
                <w:lang w:eastAsia="zh-CN"/>
              </w:rPr>
              <w:t>PS G7 -</w:t>
            </w:r>
            <w:r w:rsidR="00BD7B56" w:rsidRPr="002131C0">
              <w:rPr>
                <w:rFonts w:ascii="Times New Roman" w:eastAsia="Times New Roman" w:hAnsi="Times New Roman" w:cs="Times New Roman"/>
                <w:lang w:eastAsia="zh-CN"/>
              </w:rPr>
              <w:t>ÚNMZ/ÚNMZ</w:t>
            </w:r>
          </w:p>
        </w:tc>
        <w:tc>
          <w:tcPr>
            <w:tcW w:w="11067" w:type="dxa"/>
            <w:tcBorders>
              <w:top w:val="single" w:sz="4" w:space="0" w:color="000000"/>
              <w:left w:val="single" w:sz="4" w:space="0" w:color="000000"/>
              <w:bottom w:val="single" w:sz="4" w:space="0" w:color="000000"/>
              <w:right w:val="single" w:sz="8" w:space="0" w:color="000000"/>
            </w:tcBorders>
          </w:tcPr>
          <w:p w14:paraId="55224C83" w14:textId="77777777" w:rsidR="008F2659" w:rsidRPr="008F2659" w:rsidRDefault="008F2659" w:rsidP="008F2659">
            <w:pPr>
              <w:pStyle w:val="paragraph"/>
              <w:spacing w:before="0" w:beforeAutospacing="0" w:after="0" w:afterAutospacing="0"/>
              <w:jc w:val="both"/>
              <w:textAlignment w:val="baseline"/>
              <w:rPr>
                <w:rStyle w:val="normaltextrun"/>
                <w:rFonts w:eastAsiaTheme="majorEastAsia"/>
                <w:sz w:val="22"/>
                <w:szCs w:val="22"/>
              </w:rPr>
            </w:pPr>
            <w:r w:rsidRPr="008F2659">
              <w:rPr>
                <w:rFonts w:eastAsiaTheme="minorHAnsi"/>
                <w:sz w:val="22"/>
                <w:szCs w:val="22"/>
                <w:lang w:eastAsia="en-US"/>
              </w:rPr>
              <w:t xml:space="preserve">EK zveřejnila 29. 11. 2024 návrh na cílenou technickou změnu směrnice 2014/32/EU o měřidlech (MID) s cílem harmonizovat požadavky na nové typy měřidel nezbytných pro digitální transformaci a cíle Zelené dohody pro Evropu. Návrh reaguje na technologický vývoj a předchází roztříštěnosti vnitřního trhu tím, že aktualizuje oblast působnosti směrnice a doplňuje nové základní požadavky. </w:t>
            </w:r>
            <w:r w:rsidRPr="008F2659">
              <w:rPr>
                <w:rFonts w:eastAsiaTheme="majorEastAsia"/>
                <w:sz w:val="22"/>
                <w:szCs w:val="22"/>
              </w:rPr>
              <w:t xml:space="preserve">Konkrétně se jedná o technické úpravy základních požadavků v příloze I, úpravy u plynoměrů v příloze IV a elektroměrů v příloze V s ohledem na inteligentní měřidla. Zásadním prvkem je doplnění nové přílohy </w:t>
            </w:r>
            <w:proofErr w:type="spellStart"/>
            <w:r w:rsidRPr="008F2659">
              <w:rPr>
                <w:rFonts w:eastAsiaTheme="majorEastAsia"/>
                <w:sz w:val="22"/>
                <w:szCs w:val="22"/>
              </w:rPr>
              <w:t>Va</w:t>
            </w:r>
            <w:proofErr w:type="spellEnd"/>
            <w:r w:rsidRPr="008F2659">
              <w:rPr>
                <w:rFonts w:eastAsiaTheme="majorEastAsia"/>
                <w:sz w:val="22"/>
                <w:szCs w:val="22"/>
              </w:rPr>
              <w:t xml:space="preserve"> pro dobíjecí zařízení elektrických vozidel, úprava měřidel tepelné energie v příloze VI pro chladicí aplikace a zavedení nové přílohy </w:t>
            </w:r>
            <w:proofErr w:type="spellStart"/>
            <w:r w:rsidRPr="008F2659">
              <w:rPr>
                <w:rFonts w:eastAsiaTheme="majorEastAsia"/>
                <w:sz w:val="22"/>
                <w:szCs w:val="22"/>
              </w:rPr>
              <w:t>VIIa</w:t>
            </w:r>
            <w:proofErr w:type="spellEnd"/>
            <w:r w:rsidRPr="008F2659">
              <w:rPr>
                <w:rFonts w:eastAsiaTheme="majorEastAsia"/>
                <w:sz w:val="22"/>
                <w:szCs w:val="22"/>
              </w:rPr>
              <w:t xml:space="preserve"> pro výdejní stojany stlačeného plynu</w:t>
            </w:r>
            <w:r w:rsidRPr="008F2659">
              <w:rPr>
                <w:rFonts w:eastAsiaTheme="minorHAnsi"/>
                <w:sz w:val="22"/>
                <w:szCs w:val="22"/>
                <w:lang w:eastAsia="en-US"/>
              </w:rPr>
              <w:t xml:space="preserve">. </w:t>
            </w:r>
          </w:p>
          <w:p w14:paraId="3EB72654" w14:textId="352B3E21" w:rsidR="00D94007" w:rsidRPr="008F2659" w:rsidRDefault="008F2659" w:rsidP="008F2659">
            <w:pPr>
              <w:pStyle w:val="paragraph"/>
              <w:widowControl w:val="0"/>
              <w:spacing w:before="0" w:beforeAutospacing="0" w:after="0" w:afterAutospacing="0"/>
              <w:jc w:val="both"/>
              <w:textAlignment w:val="baseline"/>
              <w:rPr>
                <w:i/>
                <w:iCs/>
                <w:sz w:val="20"/>
                <w:szCs w:val="20"/>
              </w:rPr>
            </w:pPr>
            <w:r w:rsidRPr="008F2659">
              <w:rPr>
                <w:rFonts w:eastAsiaTheme="minorHAnsi"/>
                <w:i/>
                <w:iCs/>
                <w:sz w:val="20"/>
                <w:szCs w:val="20"/>
                <w:lang w:eastAsia="en-US"/>
              </w:rPr>
              <w:t>Návrh představila EK na jednání PS G7 pro technickou harmonizaci dne 12. 12. 2024 za HU PRES. Projednávání pokračovalo za PL PRES a DK PRES v rámci šesti jednání PS. Dne 8. 10. 2025 schválil CRP I mandát pro jednání s EP. Tento mandát oproti původnímu návrhu Komise upravil přechodné a implementační lhůty, prodloužil platnost certifikátů, zjednodušil požadavky na ochranu dat a usnadnil využití cloudových řešení. Došlo také k přizpůsobení definic koncepci chytrých měřidel a zpřísnění požadavků na přesnost u střídavých a stejnosměrných systémů. EP přijal své stanovisko dne 30. 9. 2025. Dne 18. 11. 2025 bylo dosaženo v rámci jednoho trialogu předběžné politické dohody, kterou v únoru 2026 definitivně odsouhlasil Evropský parlament (10. 2.) i Rada (CRP 25. 2. a COMPET 26. 2. 2026 – CZ, SE, AT se zdržely). Text byl následně zveřejněn dne 20. 3. 2026 v OJ EU jako</w:t>
            </w:r>
            <w:r w:rsidRPr="008F2659">
              <w:rPr>
                <w:rFonts w:eastAsiaTheme="minorEastAsia"/>
                <w:i/>
                <w:iCs/>
                <w:sz w:val="22"/>
                <w:szCs w:val="22"/>
                <w:lang w:eastAsia="en-US"/>
              </w:rPr>
              <w:t xml:space="preserve"> </w:t>
            </w:r>
            <w:hyperlink r:id="rId9" w:history="1">
              <w:r w:rsidRPr="008F2659">
                <w:rPr>
                  <w:rStyle w:val="Hypertextovodkaz"/>
                  <w:rFonts w:eastAsiaTheme="minorEastAsia"/>
                  <w:i/>
                  <w:iCs/>
                  <w:sz w:val="22"/>
                  <w:szCs w:val="22"/>
                  <w:lang w:eastAsia="en-US"/>
                </w:rPr>
                <w:t>směrnice (E</w:t>
              </w:r>
              <w:r w:rsidRPr="008F2659">
                <w:rPr>
                  <w:rStyle w:val="Hypertextovodkaz"/>
                  <w:rFonts w:eastAsiaTheme="minorEastAsia"/>
                  <w:i/>
                  <w:iCs/>
                  <w:sz w:val="22"/>
                  <w:szCs w:val="22"/>
                  <w:lang w:eastAsia="en-US"/>
                </w:rPr>
                <w:t>U</w:t>
              </w:r>
              <w:r w:rsidRPr="008F2659">
                <w:rPr>
                  <w:rStyle w:val="Hypertextovodkaz"/>
                  <w:rFonts w:eastAsiaTheme="minorEastAsia"/>
                  <w:i/>
                  <w:iCs/>
                  <w:sz w:val="22"/>
                  <w:szCs w:val="22"/>
                  <w:lang w:eastAsia="en-US"/>
                </w:rPr>
                <w:t>) 20</w:t>
              </w:r>
              <w:r w:rsidRPr="008F2659">
                <w:rPr>
                  <w:rStyle w:val="Hypertextovodkaz"/>
                  <w:rFonts w:eastAsiaTheme="minorEastAsia"/>
                  <w:i/>
                  <w:iCs/>
                  <w:sz w:val="22"/>
                  <w:szCs w:val="22"/>
                  <w:lang w:eastAsia="en-US"/>
                </w:rPr>
                <w:t>2</w:t>
              </w:r>
              <w:r w:rsidRPr="008F2659">
                <w:rPr>
                  <w:rStyle w:val="Hypertextovodkaz"/>
                  <w:rFonts w:eastAsiaTheme="minorEastAsia"/>
                  <w:i/>
                  <w:iCs/>
                  <w:sz w:val="22"/>
                  <w:szCs w:val="22"/>
                  <w:lang w:eastAsia="en-US"/>
                </w:rPr>
                <w:t>6/706</w:t>
              </w:r>
            </w:hyperlink>
            <w:r w:rsidR="002F0E1B" w:rsidRPr="008F2659">
              <w:rPr>
                <w:rFonts w:eastAsiaTheme="minorHAnsi"/>
                <w:i/>
                <w:iCs/>
                <w:sz w:val="22"/>
                <w:szCs w:val="22"/>
                <w:lang w:eastAsia="en-US"/>
              </w:rPr>
              <w:t>.</w:t>
            </w:r>
          </w:p>
        </w:tc>
      </w:tr>
      <w:tr w:rsidR="00A63C71" w:rsidRPr="00B817C7" w14:paraId="07030FFF" w14:textId="77777777" w:rsidTr="009D16C3">
        <w:trPr>
          <w:trHeight w:val="983"/>
          <w:jc w:val="center"/>
        </w:trPr>
        <w:tc>
          <w:tcPr>
            <w:tcW w:w="2400" w:type="dxa"/>
            <w:tcBorders>
              <w:top w:val="single" w:sz="4" w:space="0" w:color="000000"/>
              <w:left w:val="single" w:sz="8" w:space="0" w:color="000000"/>
              <w:bottom w:val="single" w:sz="4" w:space="0" w:color="000000"/>
            </w:tcBorders>
          </w:tcPr>
          <w:p w14:paraId="3E058D5F" w14:textId="77777777" w:rsidR="00A63C71" w:rsidRPr="00B817C7" w:rsidRDefault="00A63C71" w:rsidP="00A63C71">
            <w:pPr>
              <w:widowControl w:val="0"/>
              <w:spacing w:after="0" w:line="240" w:lineRule="auto"/>
              <w:ind w:left="-82"/>
              <w:jc w:val="both"/>
              <w:rPr>
                <w:rFonts w:ascii="Times New Roman" w:hAnsi="Times New Roman" w:cs="Times New Roman"/>
                <w:b/>
                <w:bCs/>
              </w:rPr>
            </w:pPr>
            <w:hyperlink r:id="rId10" w:history="1">
              <w:r w:rsidRPr="00B817C7">
                <w:rPr>
                  <w:rStyle w:val="Hypertextovodkaz"/>
                  <w:rFonts w:ascii="Times New Roman" w:hAnsi="Times New Roman" w:cs="Times New Roman"/>
                  <w:b/>
                  <w:bCs/>
                </w:rPr>
                <w:t>Návrh směrnice, kterou se mění směrnice 2000/14/ES, 2011/65/EU, 2013/53/EU, 2014/29/EU, 2014/30/EU, 2014/31/EU, 2014/32/EU, 2014/33/EU, 2014/34/EU, 2014/35/EU, 2014/53/EU, 2014/68/EU, 2014/90/EU pokud jde o digitalizaci a společné specifikace.</w:t>
              </w:r>
            </w:hyperlink>
          </w:p>
          <w:p w14:paraId="760D3F77" w14:textId="77777777" w:rsidR="00A63C71" w:rsidRPr="00B817C7" w:rsidRDefault="00A63C71" w:rsidP="00A63C71">
            <w:pPr>
              <w:widowControl w:val="0"/>
              <w:spacing w:after="0" w:line="240" w:lineRule="auto"/>
              <w:ind w:left="-82"/>
              <w:jc w:val="both"/>
              <w:rPr>
                <w:rFonts w:ascii="Times New Roman" w:hAnsi="Times New Roman" w:cs="Times New Roman"/>
              </w:rPr>
            </w:pPr>
            <w:hyperlink r:id="rId11" w:history="1">
              <w:r w:rsidRPr="00B817C7">
                <w:rPr>
                  <w:rStyle w:val="Hypertextovodkaz"/>
                  <w:rFonts w:ascii="Times New Roman" w:hAnsi="Times New Roman" w:cs="Times New Roman"/>
                  <w:b/>
                  <w:bCs/>
                </w:rPr>
                <w:t xml:space="preserve">Návrh nařízení, kterým se mění nařízení (EU) 765/2008, 2016/424, 2015/425. 2016/426, 2024/1230, 2023/1542 a </w:t>
              </w:r>
              <w:r w:rsidRPr="00B817C7">
                <w:rPr>
                  <w:rStyle w:val="Hypertextovodkaz"/>
                  <w:rFonts w:ascii="Times New Roman" w:hAnsi="Times New Roman" w:cs="Times New Roman"/>
                  <w:b/>
                  <w:bCs/>
                </w:rPr>
                <w:lastRenderedPageBreak/>
                <w:t>2024/1781 pokud jde o digitalizaci a společné specifikace</w:t>
              </w:r>
            </w:hyperlink>
          </w:p>
        </w:tc>
        <w:tc>
          <w:tcPr>
            <w:tcW w:w="1701" w:type="dxa"/>
            <w:tcBorders>
              <w:top w:val="single" w:sz="4" w:space="0" w:color="000000"/>
              <w:left w:val="single" w:sz="4" w:space="0" w:color="000000"/>
              <w:bottom w:val="single" w:sz="4" w:space="0" w:color="000000"/>
            </w:tcBorders>
          </w:tcPr>
          <w:p w14:paraId="75489CC8" w14:textId="77777777" w:rsidR="00A63C71" w:rsidRPr="00B817C7" w:rsidRDefault="00A63C71" w:rsidP="00A63C71">
            <w:pPr>
              <w:widowControl w:val="0"/>
              <w:suppressAutoHyphens/>
              <w:spacing w:after="0" w:line="240" w:lineRule="auto"/>
              <w:jc w:val="center"/>
              <w:rPr>
                <w:rFonts w:ascii="Times New Roman" w:eastAsia="Times New Roman" w:hAnsi="Times New Roman" w:cs="Times New Roman"/>
                <w:lang w:eastAsia="zh-CN"/>
              </w:rPr>
            </w:pPr>
            <w:r w:rsidRPr="00B872A5">
              <w:rPr>
                <w:rFonts w:ascii="Times New Roman" w:eastAsia="Times New Roman" w:hAnsi="Times New Roman" w:cs="Times New Roman"/>
                <w:lang w:eastAsia="zh-CN"/>
              </w:rPr>
              <w:lastRenderedPageBreak/>
              <w:t>PS A.14a</w:t>
            </w:r>
            <w:r w:rsidRPr="00B817C7">
              <w:rPr>
                <w:rFonts w:ascii="Times New Roman" w:eastAsia="Times New Roman" w:hAnsi="Times New Roman" w:cs="Times New Roman"/>
                <w:lang w:eastAsia="zh-CN"/>
              </w:rPr>
              <w:t xml:space="preserve"> -MZV/ÚNMZ</w:t>
            </w:r>
          </w:p>
        </w:tc>
        <w:tc>
          <w:tcPr>
            <w:tcW w:w="11067" w:type="dxa"/>
            <w:tcBorders>
              <w:top w:val="single" w:sz="4" w:space="0" w:color="000000"/>
              <w:left w:val="single" w:sz="4" w:space="0" w:color="000000"/>
              <w:bottom w:val="single" w:sz="4" w:space="0" w:color="000000"/>
              <w:right w:val="single" w:sz="8" w:space="0" w:color="000000"/>
            </w:tcBorders>
          </w:tcPr>
          <w:p w14:paraId="66F5E848" w14:textId="77777777" w:rsidR="008F2659" w:rsidRPr="008F2659" w:rsidRDefault="008F2659" w:rsidP="008F2659">
            <w:pPr>
              <w:pStyle w:val="Normlnweb"/>
              <w:spacing w:before="0" w:beforeAutospacing="0" w:after="0" w:afterAutospacing="0"/>
              <w:jc w:val="both"/>
              <w:rPr>
                <w:sz w:val="22"/>
                <w:szCs w:val="22"/>
              </w:rPr>
            </w:pPr>
            <w:r w:rsidRPr="008F2659">
              <w:rPr>
                <w:sz w:val="22"/>
                <w:szCs w:val="22"/>
              </w:rPr>
              <w:t xml:space="preserve">EK zveřejnila oba návrhy 21. 5. 2025 v rámci IV. simplifikačního omnibusu ke zjednodušení administrativní zátěže. Cílem je </w:t>
            </w:r>
            <w:r w:rsidRPr="008F2659">
              <w:rPr>
                <w:sz w:val="22"/>
                <w:szCs w:val="22"/>
                <w:u w:val="single"/>
              </w:rPr>
              <w:t>digitalizace</w:t>
            </w:r>
            <w:r w:rsidRPr="008F2659">
              <w:rPr>
                <w:sz w:val="22"/>
                <w:szCs w:val="22"/>
              </w:rPr>
              <w:t xml:space="preserve"> povinností hospodářských subjektů, zejména zavedením povinného elektronického EU prohlášení o shodě přístupného přes internetovou adresu či strojově čitelný kód. Výrobci budou nově na výrobcích uvádět „digitální kontakt“ a návody budou moci poskytovat v elektronické podobě, s výjimkou bezpečnostních informací, které zůstávají v papírové formě nebo musí být uvedeny přímo na výrobku. Návrhy dále zavádějí výhradně elektronickou komunikaci s vnitrostátními orgány a povinnost integrovat dokumentaci do digitálního pasu výrobku (DPP) u výrobků, které jej vyžadují. Součástí navrhované úpravy je také možnost</w:t>
            </w:r>
            <w:r w:rsidRPr="008F2659">
              <w:rPr>
                <w:b/>
                <w:bCs/>
                <w:sz w:val="22"/>
                <w:szCs w:val="22"/>
              </w:rPr>
              <w:t xml:space="preserve"> </w:t>
            </w:r>
            <w:r w:rsidRPr="008F2659">
              <w:rPr>
                <w:sz w:val="22"/>
                <w:szCs w:val="22"/>
                <w:u w:val="single"/>
              </w:rPr>
              <w:t>přijmout společné specifikace,</w:t>
            </w:r>
            <w:r w:rsidRPr="008F2659">
              <w:rPr>
                <w:sz w:val="22"/>
                <w:szCs w:val="22"/>
              </w:rPr>
              <w:t xml:space="preserve"> které mají sloužit jako záložní řešení v situacích, kdy prokazování shody nelze zajistit skrze harmonizované normy, například z důvodu jejich neexistence, nedostatečnosti nebo vzniku naléhavé potřeby.</w:t>
            </w:r>
          </w:p>
          <w:p w14:paraId="37530567" w14:textId="0B13E6BC" w:rsidR="00013883" w:rsidRPr="008F2659" w:rsidRDefault="008F2659" w:rsidP="008F2659">
            <w:pPr>
              <w:spacing w:after="0" w:line="240" w:lineRule="auto"/>
              <w:jc w:val="both"/>
              <w:rPr>
                <w:rFonts w:ascii="Times New Roman" w:hAnsi="Times New Roman" w:cs="Times New Roman"/>
              </w:rPr>
            </w:pPr>
            <w:r w:rsidRPr="008F2659">
              <w:rPr>
                <w:rFonts w:ascii="Times New Roman" w:eastAsiaTheme="minorEastAsia" w:hAnsi="Times New Roman" w:cs="Times New Roman"/>
                <w:i/>
                <w:iCs/>
              </w:rPr>
              <w:t xml:space="preserve">EK prezentovala celý IV. simplifikační omnibus 28. 5. 2025 na PS Rady A.14a </w:t>
            </w:r>
            <w:proofErr w:type="spellStart"/>
            <w:r w:rsidRPr="008F2659">
              <w:rPr>
                <w:rFonts w:ascii="Times New Roman" w:eastAsiaTheme="minorEastAsia" w:hAnsi="Times New Roman" w:cs="Times New Roman"/>
                <w:i/>
                <w:iCs/>
              </w:rPr>
              <w:t>Antici</w:t>
            </w:r>
            <w:proofErr w:type="spellEnd"/>
            <w:r w:rsidRPr="008F2659">
              <w:rPr>
                <w:rFonts w:ascii="Times New Roman" w:eastAsiaTheme="minorEastAsia" w:hAnsi="Times New Roman" w:cs="Times New Roman"/>
                <w:i/>
                <w:iCs/>
              </w:rPr>
              <w:t xml:space="preserve"> pro zjednodušování. Oba návrhy byly diskutovány na šesti zasedáních této PS a 24. 9. 2025 CRP II schválil </w:t>
            </w:r>
            <w:hyperlink r:id="rId12">
              <w:r w:rsidRPr="008F2659">
                <w:rPr>
                  <w:rStyle w:val="Hypertextovodkaz"/>
                  <w:rFonts w:ascii="Times New Roman" w:eastAsiaTheme="minorEastAsia" w:hAnsi="Times New Roman" w:cs="Times New Roman"/>
                  <w:i/>
                  <w:iCs/>
                </w:rPr>
                <w:t>mandát pro zaháje</w:t>
              </w:r>
              <w:r w:rsidRPr="008F2659">
                <w:rPr>
                  <w:rStyle w:val="Hypertextovodkaz"/>
                  <w:rFonts w:ascii="Times New Roman" w:eastAsiaTheme="minorEastAsia" w:hAnsi="Times New Roman" w:cs="Times New Roman"/>
                  <w:i/>
                  <w:iCs/>
                </w:rPr>
                <w:t>n</w:t>
              </w:r>
              <w:r w:rsidRPr="008F2659">
                <w:rPr>
                  <w:rStyle w:val="Hypertextovodkaz"/>
                  <w:rFonts w:ascii="Times New Roman" w:eastAsiaTheme="minorEastAsia" w:hAnsi="Times New Roman" w:cs="Times New Roman"/>
                  <w:i/>
                  <w:iCs/>
                </w:rPr>
                <w:t>í jednání s EP</w:t>
              </w:r>
            </w:hyperlink>
            <w:r w:rsidRPr="008F2659">
              <w:rPr>
                <w:rFonts w:ascii="Times New Roman" w:eastAsiaTheme="minorEastAsia" w:hAnsi="Times New Roman" w:cs="Times New Roman"/>
                <w:i/>
                <w:iCs/>
              </w:rPr>
              <w:t xml:space="preserve">, který oproti původnímu návrhu EK zahrnuje několik zásadních úprav. Z působnosti bylo vyjmuto </w:t>
            </w:r>
            <w:r w:rsidRPr="008F2659">
              <w:rPr>
                <w:rFonts w:ascii="Times New Roman" w:hAnsi="Times New Roman" w:cs="Times New Roman"/>
                <w:i/>
                <w:iCs/>
              </w:rPr>
              <w:t xml:space="preserve">nařízení (ES) 765/2008 o akreditaci a dozoru nad trhem a byla zpřesněna pravidla pro digitální kontakt s důrazem na dostupnost bezpečnostních informací k výrobku v digitální podobě při ohrožení spotřebitele. Rámec pro přijímání společných specifikací byl uveden do souladu s přístupem dohodnutým v nařízení (EU) 2025/2509 o bezpečnosti hraček. Mandát dále prodlužuje lhůtu pro transpozici směrnice na 24 měsíců a v rámci </w:t>
            </w:r>
            <w:r w:rsidRPr="008F2659">
              <w:rPr>
                <w:rFonts w:ascii="Times New Roman" w:eastAsia="Times New Roman" w:hAnsi="Times New Roman" w:cs="Times New Roman"/>
                <w:bCs/>
                <w:i/>
                <w:iCs/>
                <w:lang w:eastAsia="cs-CZ"/>
              </w:rPr>
              <w:t xml:space="preserve">nařízení o ekodesignu (ESPR) posouvá platnost stávající směrnice o ekodesignu </w:t>
            </w:r>
            <w:r w:rsidRPr="008F2659">
              <w:rPr>
                <w:rFonts w:ascii="Times New Roman" w:eastAsia="Times New Roman" w:hAnsi="Times New Roman" w:cs="Times New Roman"/>
                <w:bCs/>
                <w:i/>
                <w:iCs/>
                <w:lang w:eastAsia="cs-CZ"/>
              </w:rPr>
              <w:lastRenderedPageBreak/>
              <w:t>(2009/125/ES) pro vybrané skupiny výrobků o dva roky, tedy do 31. 12. 2028.</w:t>
            </w:r>
            <w:r w:rsidR="00216A30">
              <w:rPr>
                <w:rFonts w:ascii="Times New Roman" w:eastAsia="Times New Roman" w:hAnsi="Times New Roman" w:cs="Times New Roman"/>
                <w:bCs/>
                <w:i/>
                <w:iCs/>
                <w:lang w:eastAsia="cs-CZ"/>
              </w:rPr>
              <w:t xml:space="preserve"> </w:t>
            </w:r>
            <w:r w:rsidRPr="008F2659">
              <w:rPr>
                <w:rFonts w:ascii="Times New Roman" w:eastAsia="Calibri" w:hAnsi="Times New Roman" w:cs="Times New Roman"/>
                <w:i/>
                <w:iCs/>
              </w:rPr>
              <w:t>EP schválil svou pozici dne 11. 3. 2026. Z doposud proběhlých jednání s EP na technické úrovni vyplynulo, že pozice EP a Rady se rozcházejí v následujících otázkách (1) zahrnutí prodloužení platnosti směrnice o ekodesignu do omnibusu, (2) vypuštění nařízení o akreditaci, (3) poskytování návodu v papírové podobě, (4) zohlednění osob s postižením, (5) zahrnutí telefonního kontaktu, (6) práva na informace ohledně přípravy prováděcího aktu stanovujícího společné specifikace, (7) právo podat formální námitku proti společným specifikacím, (8) spouštěcí podmínky pro přijetí společných specifikací, (9) právo vyžádat si informace ohledně souladu společných specifikací se základními požadavky a vydávání zprávy ohledně účinnosti nařízení.</w:t>
            </w:r>
            <w:r w:rsidRPr="008F2659">
              <w:rPr>
                <w:rFonts w:ascii="Times New Roman" w:eastAsia="Calibri" w:hAnsi="Times New Roman" w:cs="Times New Roman"/>
              </w:rPr>
              <w:t xml:space="preserve"> </w:t>
            </w:r>
            <w:r w:rsidRPr="008F2659">
              <w:rPr>
                <w:rFonts w:ascii="Times New Roman" w:eastAsia="Calibri" w:hAnsi="Times New Roman" w:cs="Times New Roman"/>
                <w:i/>
                <w:iCs/>
              </w:rPr>
              <w:t>Tyto otázky byly diskutovány na PS</w:t>
            </w:r>
            <w:r w:rsidR="007E27DE">
              <w:rPr>
                <w:rFonts w:ascii="Times New Roman" w:eastAsia="Calibri" w:hAnsi="Times New Roman" w:cs="Times New Roman"/>
                <w:i/>
                <w:iCs/>
              </w:rPr>
              <w:t xml:space="preserve"> dne 30. 3. 2026</w:t>
            </w:r>
            <w:r w:rsidRPr="008F2659">
              <w:rPr>
                <w:rFonts w:ascii="Times New Roman" w:eastAsia="Calibri" w:hAnsi="Times New Roman" w:cs="Times New Roman"/>
                <w:i/>
                <w:iCs/>
              </w:rPr>
              <w:t>, první politický trialog s EP je naplánován na 15. 4. 2026.</w:t>
            </w:r>
          </w:p>
        </w:tc>
      </w:tr>
      <w:bookmarkEnd w:id="0"/>
      <w:tr w:rsidR="00D946E7" w:rsidRPr="00B817C7" w14:paraId="7F70D879" w14:textId="77777777" w:rsidTr="00A116D3">
        <w:trPr>
          <w:trHeight w:val="274"/>
          <w:jc w:val="center"/>
        </w:trPr>
        <w:tc>
          <w:tcPr>
            <w:tcW w:w="2400" w:type="dxa"/>
            <w:tcBorders>
              <w:top w:val="single" w:sz="4" w:space="0" w:color="000000"/>
              <w:left w:val="single" w:sz="8" w:space="0" w:color="000000"/>
              <w:bottom w:val="single" w:sz="4" w:space="0" w:color="000000"/>
            </w:tcBorders>
          </w:tcPr>
          <w:p w14:paraId="29B3AB15" w14:textId="77777777" w:rsidR="00D946E7" w:rsidRPr="00B817C7" w:rsidRDefault="00D946E7" w:rsidP="00971EA3">
            <w:pPr>
              <w:widowControl w:val="0"/>
              <w:spacing w:after="0" w:line="240" w:lineRule="auto"/>
              <w:jc w:val="both"/>
              <w:rPr>
                <w:rFonts w:ascii="Times New Roman" w:hAnsi="Times New Roman" w:cs="Times New Roman"/>
              </w:rPr>
            </w:pPr>
            <w:r w:rsidRPr="00B817C7">
              <w:rPr>
                <w:rFonts w:ascii="Times New Roman" w:hAnsi="Times New Roman" w:cs="Times New Roman"/>
              </w:rPr>
              <w:lastRenderedPageBreak/>
              <w:fldChar w:fldCharType="begin"/>
            </w:r>
            <w:r w:rsidRPr="00B817C7">
              <w:rPr>
                <w:rFonts w:ascii="Times New Roman" w:hAnsi="Times New Roman" w:cs="Times New Roman"/>
              </w:rPr>
              <w:instrText>HYPERLINK "https://eur-lex.europa.eu/legal-content/CS/TXT/?uri=CELEX%3A52023PC0217"</w:instrText>
            </w:r>
            <w:r w:rsidRPr="00B817C7">
              <w:rPr>
                <w:rFonts w:ascii="Times New Roman" w:hAnsi="Times New Roman" w:cs="Times New Roman"/>
              </w:rPr>
            </w:r>
            <w:r w:rsidRPr="00B817C7">
              <w:rPr>
                <w:rFonts w:ascii="Times New Roman" w:hAnsi="Times New Roman" w:cs="Times New Roman"/>
              </w:rPr>
              <w:fldChar w:fldCharType="separate"/>
            </w:r>
            <w:r w:rsidRPr="00B817C7">
              <w:rPr>
                <w:rStyle w:val="Hypertextovodkaz"/>
                <w:rFonts w:ascii="Times New Roman" w:hAnsi="Times New Roman" w:cs="Times New Roman"/>
                <w:b/>
                <w:bCs/>
              </w:rPr>
              <w:t>Návrh nařízení EP a Rady o detergentech a povrchově aktivních látkách, o změně nařízení (EU) 2019/1020 a o zrušení nařízení (ES) č. 648/200</w:t>
            </w:r>
            <w:r w:rsidRPr="00B817C7">
              <w:rPr>
                <w:rStyle w:val="Hypertextovodkaz"/>
                <w:rFonts w:ascii="Times New Roman" w:hAnsi="Times New Roman" w:cs="Times New Roman"/>
              </w:rPr>
              <w:t>4</w:t>
            </w:r>
            <w:r w:rsidRPr="00B817C7">
              <w:rPr>
                <w:rFonts w:ascii="Times New Roman" w:hAnsi="Times New Roman" w:cs="Times New Roman"/>
              </w:rPr>
              <w:fldChar w:fldCharType="end"/>
            </w:r>
          </w:p>
        </w:tc>
        <w:tc>
          <w:tcPr>
            <w:tcW w:w="1701" w:type="dxa"/>
            <w:tcBorders>
              <w:top w:val="single" w:sz="4" w:space="0" w:color="000000"/>
              <w:left w:val="single" w:sz="4" w:space="0" w:color="000000"/>
              <w:bottom w:val="single" w:sz="4" w:space="0" w:color="000000"/>
            </w:tcBorders>
          </w:tcPr>
          <w:p w14:paraId="6CB70896" w14:textId="02E716BF" w:rsidR="00D946E7" w:rsidRPr="00B817C7" w:rsidRDefault="00CF6EBF" w:rsidP="00971EA3">
            <w:pPr>
              <w:widowControl w:val="0"/>
              <w:suppressAutoHyphens/>
              <w:spacing w:after="0" w:line="240" w:lineRule="auto"/>
              <w:jc w:val="center"/>
              <w:rPr>
                <w:rFonts w:ascii="Times New Roman" w:eastAsia="Times New Roman" w:hAnsi="Times New Roman" w:cs="Times New Roman"/>
                <w:lang w:eastAsia="zh-CN"/>
              </w:rPr>
            </w:pPr>
            <w:r w:rsidRPr="000B155E">
              <w:rPr>
                <w:rFonts w:ascii="Times New Roman" w:eastAsia="Times New Roman" w:hAnsi="Times New Roman" w:cs="Times New Roman"/>
                <w:lang w:eastAsia="zh-CN"/>
              </w:rPr>
              <w:t xml:space="preserve">PS G7 - </w:t>
            </w:r>
            <w:r w:rsidR="00D946E7" w:rsidRPr="000B155E">
              <w:rPr>
                <w:rFonts w:ascii="Times New Roman" w:eastAsia="Times New Roman" w:hAnsi="Times New Roman" w:cs="Times New Roman"/>
                <w:lang w:eastAsia="zh-CN"/>
              </w:rPr>
              <w:t>ÚNMZ/MŽP</w:t>
            </w:r>
          </w:p>
        </w:tc>
        <w:tc>
          <w:tcPr>
            <w:tcW w:w="11067" w:type="dxa"/>
            <w:tcBorders>
              <w:top w:val="single" w:sz="4" w:space="0" w:color="000000"/>
              <w:left w:val="single" w:sz="4" w:space="0" w:color="000000"/>
              <w:bottom w:val="single" w:sz="4" w:space="0" w:color="000000"/>
              <w:right w:val="single" w:sz="8" w:space="0" w:color="000000"/>
            </w:tcBorders>
          </w:tcPr>
          <w:p w14:paraId="44D15907" w14:textId="77777777" w:rsidR="00D946E7" w:rsidRPr="00A7735D" w:rsidRDefault="00D946E7" w:rsidP="00971EA3">
            <w:pPr>
              <w:pStyle w:val="paragraph"/>
              <w:widowControl w:val="0"/>
              <w:spacing w:after="0" w:afterAutospacing="0"/>
              <w:jc w:val="both"/>
              <w:rPr>
                <w:rFonts w:eastAsiaTheme="minorHAnsi"/>
                <w:sz w:val="22"/>
                <w:szCs w:val="22"/>
                <w:lang w:eastAsia="en-US"/>
              </w:rPr>
            </w:pPr>
            <w:r w:rsidRPr="00A7735D">
              <w:rPr>
                <w:rFonts w:eastAsiaTheme="minorHAnsi"/>
                <w:sz w:val="22"/>
                <w:szCs w:val="22"/>
                <w:lang w:eastAsia="en-US"/>
              </w:rPr>
              <w:t>EK zveřejnila návrh v dubnu 2023 s cílem vytvořit právní rámec podporující ekologickou a digitální transformaci EU průmyslu, zohlednit nový vývoj na trhu, přizpůsobit mu a zjednodušit stávající pravidla, snížit regulační zátěž pro výrobce a zabránit duplikaci požadavků v legislativě. Nařízení definuje požadavky na složení detergentů, včetně jejich biologické rozložitelnosti a účinnosti, a vyžaduje, aby výrobci poskytovali informace o bezpečném používání a nakládání s těmito produkty. Zahrnuje také opatření k omezení používání nebezpečných látek a ke snížení jejich negativních dopadů na životní prostředí.</w:t>
            </w:r>
          </w:p>
          <w:p w14:paraId="2E51492C" w14:textId="6FBB0FDC" w:rsidR="00E2120F" w:rsidRPr="00A7735D" w:rsidRDefault="00D946E7" w:rsidP="008F2659">
            <w:pPr>
              <w:pStyle w:val="paragraph"/>
              <w:widowControl w:val="0"/>
              <w:spacing w:before="0" w:beforeAutospacing="0" w:after="0" w:afterAutospacing="0"/>
              <w:jc w:val="both"/>
              <w:textAlignment w:val="baseline"/>
              <w:rPr>
                <w:rFonts w:eastAsiaTheme="minorHAnsi"/>
                <w:i/>
                <w:iCs/>
                <w:sz w:val="22"/>
                <w:szCs w:val="22"/>
                <w:lang w:eastAsia="en-US"/>
              </w:rPr>
            </w:pPr>
            <w:r w:rsidRPr="00A7735D">
              <w:rPr>
                <w:rFonts w:eastAsiaTheme="minorHAnsi"/>
                <w:i/>
                <w:iCs/>
                <w:sz w:val="20"/>
                <w:szCs w:val="20"/>
                <w:lang w:eastAsia="en-US"/>
              </w:rPr>
              <w:t xml:space="preserve">EK představila návrh na PS G7 pro technickou harmonizaci v květnu 2023 za SE PRES, včetně studie posouzení dopadů, a proběhla první obecná výměna názorů k návrhu. ES PRES strukturovalo diskusi po jednotlivých klastrech a BE PRES pokračovalo v projednávání. </w:t>
            </w:r>
            <w:r w:rsidR="004554D9" w:rsidRPr="00A7735D">
              <w:rPr>
                <w:rFonts w:eastAsiaTheme="minorHAnsi"/>
                <w:i/>
                <w:iCs/>
                <w:sz w:val="20"/>
                <w:szCs w:val="20"/>
                <w:lang w:eastAsia="en-US"/>
              </w:rPr>
              <w:t>Coreper</w:t>
            </w:r>
            <w:r w:rsidRPr="00A7735D">
              <w:rPr>
                <w:rFonts w:eastAsiaTheme="minorHAnsi"/>
                <w:i/>
                <w:iCs/>
                <w:sz w:val="20"/>
                <w:szCs w:val="20"/>
                <w:lang w:eastAsia="en-US"/>
              </w:rPr>
              <w:t xml:space="preserve"> schválil dne 14. 6. 2024 </w:t>
            </w:r>
            <w:hyperlink r:id="rId13" w:history="1">
              <w:r w:rsidRPr="00A7735D">
                <w:rPr>
                  <w:rStyle w:val="Hypertextovodkaz"/>
                  <w:rFonts w:eastAsiaTheme="minorHAnsi"/>
                  <w:i/>
                  <w:iCs/>
                  <w:sz w:val="20"/>
                  <w:szCs w:val="20"/>
                  <w:lang w:eastAsia="en-US"/>
                </w:rPr>
                <w:t>mandát Rady</w:t>
              </w:r>
            </w:hyperlink>
            <w:r w:rsidRPr="00A7735D">
              <w:rPr>
                <w:rFonts w:eastAsiaTheme="minorHAnsi"/>
                <w:i/>
                <w:iCs/>
                <w:sz w:val="20"/>
                <w:szCs w:val="20"/>
                <w:lang w:eastAsia="en-US"/>
              </w:rPr>
              <w:t xml:space="preserve"> pro vyjednávání s EP. EP přijal své </w:t>
            </w:r>
            <w:hyperlink r:id="rId14" w:history="1">
              <w:r w:rsidRPr="00A7735D">
                <w:rPr>
                  <w:rStyle w:val="Hypertextovodkaz"/>
                  <w:rFonts w:eastAsiaTheme="minorHAnsi"/>
                  <w:i/>
                  <w:iCs/>
                  <w:sz w:val="20"/>
                  <w:szCs w:val="20"/>
                  <w:lang w:eastAsia="en-US"/>
                </w:rPr>
                <w:t>stanovisko</w:t>
              </w:r>
            </w:hyperlink>
            <w:r w:rsidRPr="00A7735D">
              <w:rPr>
                <w:rFonts w:eastAsiaTheme="minorHAnsi"/>
                <w:i/>
                <w:iCs/>
                <w:sz w:val="20"/>
                <w:szCs w:val="20"/>
                <w:lang w:eastAsia="en-US"/>
              </w:rPr>
              <w:t xml:space="preserve"> na svém plenárním zasedání dne 27.</w:t>
            </w:r>
            <w:r w:rsidR="000214CF" w:rsidRPr="00A7735D">
              <w:rPr>
                <w:rFonts w:eastAsiaTheme="minorHAnsi"/>
                <w:i/>
                <w:iCs/>
                <w:sz w:val="20"/>
                <w:szCs w:val="20"/>
                <w:lang w:eastAsia="en-US"/>
              </w:rPr>
              <w:t> </w:t>
            </w:r>
            <w:r w:rsidRPr="00A7735D">
              <w:rPr>
                <w:rFonts w:eastAsiaTheme="minorHAnsi"/>
                <w:i/>
                <w:iCs/>
                <w:sz w:val="20"/>
                <w:szCs w:val="20"/>
                <w:lang w:eastAsia="en-US"/>
              </w:rPr>
              <w:t>2</w:t>
            </w:r>
            <w:r w:rsidR="000214CF" w:rsidRPr="00A7735D">
              <w:rPr>
                <w:rFonts w:eastAsiaTheme="minorHAnsi"/>
                <w:i/>
                <w:iCs/>
                <w:sz w:val="20"/>
                <w:szCs w:val="20"/>
                <w:lang w:eastAsia="en-US"/>
              </w:rPr>
              <w:t>. </w:t>
            </w:r>
            <w:r w:rsidRPr="00A7735D">
              <w:rPr>
                <w:rFonts w:eastAsiaTheme="minorHAnsi"/>
                <w:i/>
                <w:iCs/>
                <w:sz w:val="20"/>
                <w:szCs w:val="20"/>
                <w:lang w:eastAsia="en-US"/>
              </w:rPr>
              <w:t xml:space="preserve">2024. </w:t>
            </w:r>
            <w:r w:rsidR="000214CF" w:rsidRPr="00A7735D">
              <w:rPr>
                <w:i/>
                <w:iCs/>
                <w:sz w:val="20"/>
                <w:szCs w:val="20"/>
              </w:rPr>
              <w:t>Diskuse s EP zahájilo s ohledem na volby do EP PL PRES až 28. 1. 2025 prvním politickým trialogem</w:t>
            </w:r>
            <w:r w:rsidR="00AE4DCC" w:rsidRPr="00A7735D">
              <w:rPr>
                <w:i/>
                <w:iCs/>
                <w:sz w:val="20"/>
                <w:szCs w:val="20"/>
              </w:rPr>
              <w:t xml:space="preserve"> a v rámci dalších dvou politických trialogů se podařilo dne 10. 6. 2025 dosáhnout </w:t>
            </w:r>
            <w:hyperlink r:id="rId15" w:history="1">
              <w:r w:rsidR="00AE4DCC" w:rsidRPr="00A7735D">
                <w:rPr>
                  <w:rStyle w:val="Hypertextovodkaz"/>
                  <w:i/>
                  <w:iCs/>
                  <w:sz w:val="20"/>
                  <w:szCs w:val="20"/>
                </w:rPr>
                <w:t>předběžné politické dohody s EP</w:t>
              </w:r>
            </w:hyperlink>
            <w:r w:rsidR="00AE4DCC" w:rsidRPr="00A7735D">
              <w:rPr>
                <w:i/>
                <w:iCs/>
                <w:sz w:val="20"/>
                <w:szCs w:val="20"/>
              </w:rPr>
              <w:t xml:space="preserve"> </w:t>
            </w:r>
            <w:r w:rsidR="000E7087" w:rsidRPr="00A7735D">
              <w:rPr>
                <w:i/>
                <w:iCs/>
                <w:sz w:val="20"/>
                <w:szCs w:val="20"/>
              </w:rPr>
              <w:t xml:space="preserve">o podobě textu nařízení o detergentech. </w:t>
            </w:r>
            <w:r w:rsidR="00D412B7" w:rsidRPr="00A7735D">
              <w:rPr>
                <w:i/>
                <w:iCs/>
                <w:sz w:val="20"/>
                <w:szCs w:val="20"/>
              </w:rPr>
              <w:t xml:space="preserve">Rada konstatovala na </w:t>
            </w:r>
            <w:proofErr w:type="spellStart"/>
            <w:r w:rsidR="00D412B7" w:rsidRPr="00A7735D">
              <w:rPr>
                <w:i/>
                <w:iCs/>
                <w:sz w:val="20"/>
                <w:szCs w:val="20"/>
              </w:rPr>
              <w:t>Coreperu</w:t>
            </w:r>
            <w:proofErr w:type="spellEnd"/>
            <w:r w:rsidR="00D412B7" w:rsidRPr="00A7735D">
              <w:rPr>
                <w:i/>
                <w:iCs/>
                <w:sz w:val="20"/>
                <w:szCs w:val="20"/>
              </w:rPr>
              <w:t xml:space="preserve"> dne </w:t>
            </w:r>
            <w:r w:rsidR="00084DEB" w:rsidRPr="00A7735D">
              <w:rPr>
                <w:i/>
                <w:iCs/>
                <w:sz w:val="20"/>
                <w:szCs w:val="20"/>
              </w:rPr>
              <w:t>25</w:t>
            </w:r>
            <w:r w:rsidR="00D412B7" w:rsidRPr="00A7735D">
              <w:rPr>
                <w:i/>
                <w:iCs/>
                <w:sz w:val="20"/>
                <w:szCs w:val="20"/>
              </w:rPr>
              <w:t xml:space="preserve">. 6. 2025 </w:t>
            </w:r>
            <w:hyperlink r:id="rId16" w:history="1">
              <w:r w:rsidR="00D412B7" w:rsidRPr="00A7735D">
                <w:rPr>
                  <w:rStyle w:val="Hypertextovodkaz"/>
                  <w:i/>
                  <w:iCs/>
                  <w:sz w:val="20"/>
                  <w:szCs w:val="20"/>
                </w:rPr>
                <w:t>obecnou shodu na dohodnutém textu</w:t>
              </w:r>
            </w:hyperlink>
            <w:r w:rsidR="00D412B7" w:rsidRPr="00A7735D">
              <w:rPr>
                <w:i/>
                <w:iCs/>
                <w:sz w:val="20"/>
                <w:szCs w:val="20"/>
              </w:rPr>
              <w:t xml:space="preserve">. Dohoda byla </w:t>
            </w:r>
            <w:r w:rsidR="00084DEB" w:rsidRPr="00A7735D">
              <w:rPr>
                <w:i/>
                <w:iCs/>
                <w:sz w:val="20"/>
                <w:szCs w:val="20"/>
              </w:rPr>
              <w:t xml:space="preserve">následně </w:t>
            </w:r>
            <w:r w:rsidR="00D412B7" w:rsidRPr="00A7735D">
              <w:rPr>
                <w:i/>
                <w:iCs/>
                <w:sz w:val="20"/>
                <w:szCs w:val="20"/>
              </w:rPr>
              <w:t>potvrzena i ze strany EP</w:t>
            </w:r>
            <w:r w:rsidR="00604BE8" w:rsidRPr="00A7735D">
              <w:rPr>
                <w:i/>
                <w:iCs/>
                <w:sz w:val="20"/>
                <w:szCs w:val="20"/>
              </w:rPr>
              <w:t xml:space="preserve">. Po dokončení právně lingvistické revize </w:t>
            </w:r>
            <w:r w:rsidR="00A746E2">
              <w:rPr>
                <w:i/>
                <w:iCs/>
                <w:sz w:val="20"/>
                <w:szCs w:val="20"/>
              </w:rPr>
              <w:t xml:space="preserve">schválila </w:t>
            </w:r>
            <w:r w:rsidR="00A746E2" w:rsidRPr="00A7735D">
              <w:rPr>
                <w:i/>
                <w:iCs/>
                <w:sz w:val="20"/>
                <w:szCs w:val="20"/>
              </w:rPr>
              <w:t>Rada</w:t>
            </w:r>
            <w:r w:rsidR="00604BE8" w:rsidRPr="00A7735D">
              <w:rPr>
                <w:i/>
                <w:iCs/>
                <w:sz w:val="20"/>
                <w:szCs w:val="20"/>
              </w:rPr>
              <w:t xml:space="preserve"> </w:t>
            </w:r>
            <w:r w:rsidR="00A746E2">
              <w:rPr>
                <w:i/>
                <w:iCs/>
                <w:sz w:val="20"/>
                <w:szCs w:val="20"/>
              </w:rPr>
              <w:t xml:space="preserve">8. 12. 2025 </w:t>
            </w:r>
            <w:r w:rsidR="00604BE8" w:rsidRPr="00A7735D">
              <w:rPr>
                <w:i/>
                <w:iCs/>
                <w:sz w:val="20"/>
                <w:szCs w:val="20"/>
              </w:rPr>
              <w:t xml:space="preserve">text jako svou pozici </w:t>
            </w:r>
            <w:r w:rsidR="00604BE8" w:rsidRPr="00A7735D">
              <w:rPr>
                <w:i/>
                <w:iCs/>
                <w:color w:val="212121"/>
                <w:sz w:val="20"/>
                <w:szCs w:val="20"/>
              </w:rPr>
              <w:t>v prvním čtení</w:t>
            </w:r>
            <w:r w:rsidR="00A746E2">
              <w:rPr>
                <w:i/>
                <w:iCs/>
                <w:color w:val="212121"/>
                <w:sz w:val="20"/>
                <w:szCs w:val="20"/>
              </w:rPr>
              <w:t xml:space="preserve"> a </w:t>
            </w:r>
            <w:r w:rsidR="00604BE8" w:rsidRPr="00A7735D">
              <w:rPr>
                <w:i/>
                <w:iCs/>
                <w:color w:val="212121"/>
                <w:sz w:val="20"/>
                <w:szCs w:val="20"/>
              </w:rPr>
              <w:t>EP jej následně schvál</w:t>
            </w:r>
            <w:r w:rsidR="00A746E2">
              <w:rPr>
                <w:i/>
                <w:iCs/>
                <w:color w:val="212121"/>
                <w:sz w:val="20"/>
                <w:szCs w:val="20"/>
              </w:rPr>
              <w:t xml:space="preserve">il dne </w:t>
            </w:r>
            <w:r w:rsidR="00AD788E">
              <w:rPr>
                <w:i/>
                <w:iCs/>
                <w:color w:val="212121"/>
                <w:sz w:val="20"/>
                <w:szCs w:val="20"/>
              </w:rPr>
              <w:t>22</w:t>
            </w:r>
            <w:r w:rsidR="00A746E2">
              <w:rPr>
                <w:i/>
                <w:iCs/>
                <w:color w:val="212121"/>
                <w:sz w:val="20"/>
                <w:szCs w:val="20"/>
              </w:rPr>
              <w:t>.</w:t>
            </w:r>
            <w:r w:rsidR="00971EA3">
              <w:rPr>
                <w:i/>
                <w:iCs/>
                <w:color w:val="212121"/>
                <w:sz w:val="20"/>
                <w:szCs w:val="20"/>
              </w:rPr>
              <w:t> </w:t>
            </w:r>
            <w:r w:rsidR="00A746E2">
              <w:rPr>
                <w:i/>
                <w:iCs/>
                <w:color w:val="212121"/>
                <w:sz w:val="20"/>
                <w:szCs w:val="20"/>
              </w:rPr>
              <w:t>1.</w:t>
            </w:r>
            <w:r w:rsidR="00971EA3">
              <w:rPr>
                <w:i/>
                <w:iCs/>
                <w:color w:val="212121"/>
                <w:sz w:val="20"/>
                <w:szCs w:val="20"/>
              </w:rPr>
              <w:t> </w:t>
            </w:r>
            <w:r w:rsidR="00A746E2">
              <w:rPr>
                <w:i/>
                <w:iCs/>
                <w:color w:val="212121"/>
                <w:sz w:val="20"/>
                <w:szCs w:val="20"/>
              </w:rPr>
              <w:t>202</w:t>
            </w:r>
            <w:r w:rsidR="00AD788E">
              <w:rPr>
                <w:i/>
                <w:iCs/>
                <w:color w:val="212121"/>
                <w:sz w:val="20"/>
                <w:szCs w:val="20"/>
              </w:rPr>
              <w:t>6</w:t>
            </w:r>
            <w:r w:rsidR="00A746E2">
              <w:rPr>
                <w:i/>
                <w:iCs/>
                <w:color w:val="212121"/>
                <w:sz w:val="20"/>
                <w:szCs w:val="20"/>
              </w:rPr>
              <w:t xml:space="preserve"> </w:t>
            </w:r>
            <w:r w:rsidR="00604BE8" w:rsidRPr="00A7735D">
              <w:rPr>
                <w:i/>
                <w:iCs/>
                <w:color w:val="212121"/>
                <w:sz w:val="20"/>
                <w:szCs w:val="20"/>
              </w:rPr>
              <w:t xml:space="preserve">jako svou pozici ve druhém </w:t>
            </w:r>
            <w:r w:rsidR="00A746E2">
              <w:rPr>
                <w:i/>
                <w:iCs/>
                <w:color w:val="212121"/>
                <w:sz w:val="20"/>
                <w:szCs w:val="20"/>
              </w:rPr>
              <w:t>čtení</w:t>
            </w:r>
            <w:r w:rsidR="00604BE8" w:rsidRPr="00A7735D">
              <w:rPr>
                <w:i/>
                <w:iCs/>
                <w:color w:val="212121"/>
                <w:sz w:val="20"/>
                <w:szCs w:val="20"/>
              </w:rPr>
              <w:t>.</w:t>
            </w:r>
            <w:r w:rsidR="009B6622" w:rsidRPr="00A7735D">
              <w:rPr>
                <w:i/>
                <w:iCs/>
                <w:color w:val="212121"/>
                <w:sz w:val="20"/>
                <w:szCs w:val="20"/>
              </w:rPr>
              <w:t xml:space="preserve"> </w:t>
            </w:r>
            <w:r w:rsidR="007E27DE" w:rsidRPr="007E27DE">
              <w:rPr>
                <w:rFonts w:eastAsiaTheme="minorHAnsi"/>
                <w:i/>
                <w:iCs/>
                <w:sz w:val="20"/>
                <w:szCs w:val="20"/>
                <w:lang w:eastAsia="en-US"/>
              </w:rPr>
              <w:t>Text byl následně zveřejněn dne 2. 3. 2026 v OJ EU jako</w:t>
            </w:r>
            <w:r w:rsidR="007E27DE" w:rsidRPr="007E27DE">
              <w:rPr>
                <w:rFonts w:eastAsiaTheme="minorEastAsia"/>
                <w:i/>
                <w:iCs/>
                <w:sz w:val="20"/>
                <w:szCs w:val="20"/>
                <w:lang w:eastAsia="en-US"/>
              </w:rPr>
              <w:t xml:space="preserve"> </w:t>
            </w:r>
            <w:hyperlink r:id="rId17" w:history="1">
              <w:r w:rsidR="008F2659" w:rsidRPr="007E27DE">
                <w:rPr>
                  <w:rStyle w:val="Hypertextovodkaz"/>
                  <w:i/>
                  <w:iCs/>
                  <w:sz w:val="20"/>
                  <w:szCs w:val="20"/>
                </w:rPr>
                <w:t>naří</w:t>
              </w:r>
              <w:r w:rsidR="008F2659" w:rsidRPr="007E27DE">
                <w:rPr>
                  <w:rStyle w:val="Hypertextovodkaz"/>
                  <w:i/>
                  <w:iCs/>
                  <w:sz w:val="20"/>
                  <w:szCs w:val="20"/>
                </w:rPr>
                <w:t>z</w:t>
              </w:r>
              <w:r w:rsidR="008F2659" w:rsidRPr="007E27DE">
                <w:rPr>
                  <w:rStyle w:val="Hypertextovodkaz"/>
                  <w:i/>
                  <w:iCs/>
                  <w:sz w:val="20"/>
                  <w:szCs w:val="20"/>
                </w:rPr>
                <w:t>ení (EU) 2026/405.</w:t>
              </w:r>
            </w:hyperlink>
          </w:p>
        </w:tc>
      </w:tr>
      <w:tr w:rsidR="005F4AEB" w:rsidRPr="00B817C7" w14:paraId="176CACB1" w14:textId="77777777" w:rsidTr="00A63C71">
        <w:trPr>
          <w:trHeight w:val="983"/>
          <w:jc w:val="center"/>
        </w:trPr>
        <w:tc>
          <w:tcPr>
            <w:tcW w:w="2400" w:type="dxa"/>
            <w:tcBorders>
              <w:top w:val="single" w:sz="4" w:space="0" w:color="000000"/>
              <w:left w:val="single" w:sz="8" w:space="0" w:color="000000"/>
              <w:bottom w:val="single" w:sz="4" w:space="0" w:color="000000"/>
            </w:tcBorders>
          </w:tcPr>
          <w:p w14:paraId="307A58DD" w14:textId="5BBE0D77" w:rsidR="005F4AEB" w:rsidRPr="00B817C7" w:rsidRDefault="00BE7012" w:rsidP="00A63C71">
            <w:pPr>
              <w:widowControl w:val="0"/>
              <w:spacing w:after="0" w:line="240" w:lineRule="auto"/>
              <w:ind w:left="-82"/>
              <w:jc w:val="both"/>
              <w:rPr>
                <w:rFonts w:ascii="Times New Roman" w:hAnsi="Times New Roman" w:cs="Times New Roman"/>
                <w:b/>
                <w:bCs/>
              </w:rPr>
            </w:pPr>
            <w:hyperlink r:id="rId18" w:history="1">
              <w:r w:rsidRPr="00BE7012">
                <w:rPr>
                  <w:rStyle w:val="Hypertextovodkaz"/>
                  <w:rFonts w:ascii="Times New Roman" w:eastAsia="Times New Roman" w:hAnsi="Times New Roman" w:cs="Times New Roman"/>
                  <w:b/>
                  <w:bCs/>
                  <w:lang w:eastAsia="cs-CZ"/>
                </w:rPr>
                <w:t>Návrh rozhodnutí Rady o postoji, který má být jménem Unie přijat na Světovém fóru pro harmonizaci předpisů o vozidlech Evropské hospodářské komise Organizace spojených národů, pokud jde o návrhy předpisů OSN z března 2026</w:t>
              </w:r>
            </w:hyperlink>
          </w:p>
        </w:tc>
        <w:tc>
          <w:tcPr>
            <w:tcW w:w="1701" w:type="dxa"/>
            <w:tcBorders>
              <w:top w:val="single" w:sz="4" w:space="0" w:color="000000"/>
              <w:left w:val="single" w:sz="4" w:space="0" w:color="000000"/>
              <w:bottom w:val="single" w:sz="4" w:space="0" w:color="000000"/>
            </w:tcBorders>
          </w:tcPr>
          <w:p w14:paraId="60AFF106" w14:textId="5FF256CF" w:rsidR="005F4AEB" w:rsidRPr="00B817C7" w:rsidRDefault="00CF6EBF" w:rsidP="00A63C71">
            <w:pPr>
              <w:widowControl w:val="0"/>
              <w:suppressAutoHyphens/>
              <w:spacing w:after="0" w:line="240" w:lineRule="auto"/>
              <w:jc w:val="center"/>
              <w:rPr>
                <w:rFonts w:ascii="Times New Roman" w:eastAsia="Times New Roman" w:hAnsi="Times New Roman" w:cs="Times New Roman"/>
                <w:lang w:eastAsia="zh-CN"/>
              </w:rPr>
            </w:pPr>
            <w:r w:rsidRPr="00D65774">
              <w:rPr>
                <w:rFonts w:ascii="Times New Roman" w:eastAsia="Times New Roman" w:hAnsi="Times New Roman" w:cs="Times New Roman"/>
                <w:lang w:eastAsia="zh-CN"/>
              </w:rPr>
              <w:t xml:space="preserve">PS G7 - </w:t>
            </w:r>
            <w:r w:rsidR="005F4AEB" w:rsidRPr="00D65774">
              <w:rPr>
                <w:rFonts w:ascii="Times New Roman" w:eastAsia="Times New Roman" w:hAnsi="Times New Roman" w:cs="Times New Roman"/>
                <w:lang w:eastAsia="zh-CN"/>
              </w:rPr>
              <w:t>ÚNMZ/MD</w:t>
            </w:r>
          </w:p>
        </w:tc>
        <w:tc>
          <w:tcPr>
            <w:tcW w:w="11067" w:type="dxa"/>
            <w:tcBorders>
              <w:top w:val="single" w:sz="4" w:space="0" w:color="000000"/>
              <w:left w:val="single" w:sz="4" w:space="0" w:color="000000"/>
              <w:bottom w:val="single" w:sz="4" w:space="0" w:color="000000"/>
              <w:right w:val="single" w:sz="8" w:space="0" w:color="000000"/>
            </w:tcBorders>
          </w:tcPr>
          <w:p w14:paraId="3D212F3B" w14:textId="2569B9BF" w:rsidR="005F4AEB" w:rsidRPr="00B817C7" w:rsidRDefault="00A8248C" w:rsidP="00A63C71">
            <w:pPr>
              <w:pStyle w:val="paragraph"/>
              <w:widowControl w:val="0"/>
              <w:spacing w:after="0" w:afterAutospacing="0"/>
              <w:jc w:val="both"/>
              <w:rPr>
                <w:rFonts w:eastAsiaTheme="minorHAnsi"/>
                <w:sz w:val="22"/>
                <w:szCs w:val="22"/>
                <w:lang w:eastAsia="en-US"/>
              </w:rPr>
            </w:pPr>
            <w:r w:rsidRPr="00B817C7">
              <w:rPr>
                <w:rFonts w:eastAsiaTheme="minorHAnsi"/>
                <w:sz w:val="22"/>
                <w:szCs w:val="22"/>
                <w:lang w:eastAsia="en-US"/>
              </w:rPr>
              <w:t>Součástí EU legislativy v rámci schvalování vozidel je velké množství předpisů OSN, které jsou zapracovány do unijní legislativy. V současné době existuje cca 170 technických předpisů OSN, které jsou pravidelně aktualizovány a případně jsou vytvářeny i nové předpisy. Výsledné hlasování o těchto předpisech probíhá v rámci skupiny WP</w:t>
            </w:r>
            <w:r w:rsidR="00D55B3A" w:rsidRPr="00B817C7">
              <w:rPr>
                <w:rFonts w:eastAsiaTheme="minorHAnsi"/>
                <w:sz w:val="22"/>
                <w:szCs w:val="22"/>
                <w:lang w:eastAsia="en-US"/>
              </w:rPr>
              <w:t>.</w:t>
            </w:r>
            <w:r w:rsidRPr="00B817C7">
              <w:rPr>
                <w:rFonts w:eastAsiaTheme="minorHAnsi"/>
                <w:sz w:val="22"/>
                <w:szCs w:val="22"/>
                <w:lang w:eastAsia="en-US"/>
              </w:rPr>
              <w:t>29 (Světové fórum pro harmonizaci předpisů týkajících se vozidel), kterého se účastní nejen zástupci signatářských států, ale i</w:t>
            </w:r>
            <w:r w:rsidR="00D55B3A" w:rsidRPr="00B817C7">
              <w:rPr>
                <w:rFonts w:eastAsiaTheme="minorHAnsi"/>
                <w:sz w:val="22"/>
                <w:szCs w:val="22"/>
                <w:lang w:eastAsia="en-US"/>
              </w:rPr>
              <w:t xml:space="preserve"> EU. Postoje, které mají být jménem EU na WP.29 přijímány, jsou </w:t>
            </w:r>
            <w:r w:rsidR="003C1DC6">
              <w:rPr>
                <w:rFonts w:eastAsiaTheme="minorHAnsi"/>
                <w:sz w:val="22"/>
                <w:szCs w:val="22"/>
                <w:lang w:eastAsia="en-US"/>
              </w:rPr>
              <w:t xml:space="preserve">také dále </w:t>
            </w:r>
            <w:r w:rsidR="00D55B3A" w:rsidRPr="00B817C7">
              <w:rPr>
                <w:rFonts w:eastAsiaTheme="minorHAnsi"/>
                <w:sz w:val="22"/>
                <w:szCs w:val="22"/>
                <w:lang w:eastAsia="en-US"/>
              </w:rPr>
              <w:t>projednávány v rámci PS G7.</w:t>
            </w:r>
          </w:p>
          <w:p w14:paraId="58BE4BBE" w14:textId="7F8902A2" w:rsidR="00877225" w:rsidRPr="00B817C7" w:rsidRDefault="00D55B3A" w:rsidP="0074094B">
            <w:pPr>
              <w:pStyle w:val="paragraph"/>
              <w:widowControl w:val="0"/>
              <w:spacing w:before="0" w:beforeAutospacing="0" w:after="0" w:afterAutospacing="0"/>
              <w:jc w:val="both"/>
              <w:rPr>
                <w:rFonts w:eastAsiaTheme="minorHAnsi"/>
                <w:i/>
                <w:iCs/>
                <w:sz w:val="20"/>
                <w:szCs w:val="20"/>
                <w:lang w:eastAsia="en-US"/>
              </w:rPr>
            </w:pPr>
            <w:r w:rsidRPr="00B817C7">
              <w:rPr>
                <w:rFonts w:eastAsiaTheme="minorHAnsi"/>
                <w:i/>
                <w:iCs/>
                <w:sz w:val="20"/>
                <w:szCs w:val="20"/>
                <w:lang w:eastAsia="en-US"/>
              </w:rPr>
              <w:t>Předmětný návrh rozhodnutí</w:t>
            </w:r>
            <w:r w:rsidR="007E27DE">
              <w:rPr>
                <w:rFonts w:eastAsiaTheme="minorHAnsi"/>
                <w:i/>
                <w:iCs/>
                <w:sz w:val="20"/>
                <w:szCs w:val="20"/>
                <w:lang w:eastAsia="en-US"/>
              </w:rPr>
              <w:t xml:space="preserve"> byl zveřejněn v OJ EU dne 10. 3. 2026 jako </w:t>
            </w:r>
            <w:hyperlink r:id="rId19" w:history="1">
              <w:r w:rsidR="007E27DE" w:rsidRPr="007E27DE">
                <w:rPr>
                  <w:rStyle w:val="Hypertextovodkaz"/>
                  <w:rFonts w:eastAsiaTheme="minorHAnsi"/>
                  <w:i/>
                  <w:iCs/>
                  <w:sz w:val="20"/>
                  <w:szCs w:val="20"/>
                  <w:lang w:eastAsia="en-US"/>
                </w:rPr>
                <w:t>rozhod</w:t>
              </w:r>
              <w:r w:rsidR="007E27DE" w:rsidRPr="007E27DE">
                <w:rPr>
                  <w:rStyle w:val="Hypertextovodkaz"/>
                  <w:rFonts w:eastAsiaTheme="minorHAnsi"/>
                  <w:i/>
                  <w:iCs/>
                  <w:sz w:val="20"/>
                  <w:szCs w:val="20"/>
                  <w:lang w:eastAsia="en-US"/>
                </w:rPr>
                <w:t>n</w:t>
              </w:r>
              <w:r w:rsidR="007E27DE" w:rsidRPr="007E27DE">
                <w:rPr>
                  <w:rStyle w:val="Hypertextovodkaz"/>
                  <w:rFonts w:eastAsiaTheme="minorHAnsi"/>
                  <w:i/>
                  <w:iCs/>
                  <w:sz w:val="20"/>
                  <w:szCs w:val="20"/>
                  <w:lang w:eastAsia="en-US"/>
                </w:rPr>
                <w:t>utí R</w:t>
              </w:r>
              <w:r w:rsidR="007E27DE" w:rsidRPr="007E27DE">
                <w:rPr>
                  <w:rStyle w:val="Hypertextovodkaz"/>
                  <w:rFonts w:eastAsiaTheme="minorHAnsi"/>
                  <w:i/>
                  <w:iCs/>
                  <w:sz w:val="20"/>
                  <w:szCs w:val="20"/>
                  <w:lang w:eastAsia="en-US"/>
                </w:rPr>
                <w:t>a</w:t>
              </w:r>
              <w:r w:rsidR="007E27DE" w:rsidRPr="007E27DE">
                <w:rPr>
                  <w:rStyle w:val="Hypertextovodkaz"/>
                  <w:rFonts w:eastAsiaTheme="minorHAnsi"/>
                  <w:i/>
                  <w:iCs/>
                  <w:sz w:val="20"/>
                  <w:szCs w:val="20"/>
                  <w:lang w:eastAsia="en-US"/>
                </w:rPr>
                <w:t>dy(EU)</w:t>
              </w:r>
              <w:r w:rsidR="00BE7012" w:rsidRPr="007E27DE">
                <w:rPr>
                  <w:rStyle w:val="Hypertextovodkaz"/>
                  <w:rFonts w:eastAsiaTheme="minorHAnsi"/>
                  <w:i/>
                  <w:iCs/>
                  <w:sz w:val="20"/>
                  <w:szCs w:val="20"/>
                  <w:lang w:eastAsia="en-US"/>
                </w:rPr>
                <w:t xml:space="preserve"> </w:t>
              </w:r>
              <w:r w:rsidR="007E27DE" w:rsidRPr="007E27DE">
                <w:rPr>
                  <w:rStyle w:val="Hypertextovodkaz"/>
                  <w:rFonts w:eastAsiaTheme="minorHAnsi"/>
                  <w:i/>
                  <w:iCs/>
                  <w:sz w:val="20"/>
                  <w:szCs w:val="20"/>
                  <w:lang w:eastAsia="en-US"/>
                </w:rPr>
                <w:t>2026/563.</w:t>
              </w:r>
            </w:hyperlink>
          </w:p>
        </w:tc>
      </w:tr>
    </w:tbl>
    <w:p w14:paraId="2597862D" w14:textId="2F6EF88B" w:rsidR="007D78E5" w:rsidRPr="00B817C7" w:rsidRDefault="007D78E5" w:rsidP="005F4AEB">
      <w:pPr>
        <w:spacing w:after="0" w:line="240" w:lineRule="auto"/>
        <w:rPr>
          <w:rStyle w:val="Siln"/>
          <w:rFonts w:ascii="Times New Roman" w:eastAsiaTheme="majorEastAsia" w:hAnsi="Times New Roman" w:cs="Times New Roman"/>
          <w:b w:val="0"/>
          <w:bCs w:val="0"/>
          <w:u w:val="single"/>
          <w:lang w:eastAsia="cs-CZ"/>
        </w:rPr>
      </w:pPr>
    </w:p>
    <w:sectPr w:rsidR="007D78E5" w:rsidRPr="00B817C7" w:rsidSect="00711EE5">
      <w:footerReference w:type="default" r:id="rId2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C6AF" w14:textId="77777777" w:rsidR="004D2E75" w:rsidRPr="00F47881" w:rsidRDefault="004D2E75" w:rsidP="00671A90">
      <w:pPr>
        <w:spacing w:after="0" w:line="240" w:lineRule="auto"/>
      </w:pPr>
      <w:r w:rsidRPr="00F47881">
        <w:separator/>
      </w:r>
    </w:p>
  </w:endnote>
  <w:endnote w:type="continuationSeparator" w:id="0">
    <w:p w14:paraId="65544B49" w14:textId="77777777" w:rsidR="004D2E75" w:rsidRPr="00F47881" w:rsidRDefault="004D2E75" w:rsidP="00671A90">
      <w:pPr>
        <w:spacing w:after="0" w:line="240" w:lineRule="auto"/>
      </w:pPr>
      <w:r w:rsidRPr="00F4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635"/>
      <w:docPartObj>
        <w:docPartGallery w:val="Page Numbers (Bottom of Page)"/>
        <w:docPartUnique/>
      </w:docPartObj>
    </w:sdtPr>
    <w:sdtContent>
      <w:p w14:paraId="73096676" w14:textId="1AECD59F" w:rsidR="007C1983" w:rsidRDefault="007C1983">
        <w:pPr>
          <w:pStyle w:val="Zpat"/>
          <w:jc w:val="center"/>
        </w:pPr>
        <w:r>
          <w:fldChar w:fldCharType="begin"/>
        </w:r>
        <w:r>
          <w:instrText>PAGE   \* MERGEFORMAT</w:instrText>
        </w:r>
        <w:r>
          <w:fldChar w:fldCharType="separate"/>
        </w:r>
        <w:r>
          <w:t>2</w:t>
        </w:r>
        <w:r>
          <w:fldChar w:fldCharType="end"/>
        </w:r>
      </w:p>
    </w:sdtContent>
  </w:sdt>
  <w:p w14:paraId="771D0EED" w14:textId="77777777" w:rsidR="007C1983" w:rsidRDefault="007C1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EA2A" w14:textId="77777777" w:rsidR="004D2E75" w:rsidRPr="00F47881" w:rsidRDefault="004D2E75" w:rsidP="00671A90">
      <w:pPr>
        <w:spacing w:after="0" w:line="240" w:lineRule="auto"/>
      </w:pPr>
      <w:r w:rsidRPr="00F47881">
        <w:separator/>
      </w:r>
    </w:p>
  </w:footnote>
  <w:footnote w:type="continuationSeparator" w:id="0">
    <w:p w14:paraId="208FB5C1" w14:textId="77777777" w:rsidR="004D2E75" w:rsidRPr="00F47881" w:rsidRDefault="004D2E75" w:rsidP="00671A90">
      <w:pPr>
        <w:spacing w:after="0" w:line="240" w:lineRule="auto"/>
      </w:pPr>
      <w:r w:rsidRPr="00F478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121"/>
    <w:multiLevelType w:val="hybridMultilevel"/>
    <w:tmpl w:val="CC34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D161A"/>
    <w:multiLevelType w:val="hybridMultilevel"/>
    <w:tmpl w:val="CA743C78"/>
    <w:lvl w:ilvl="0" w:tplc="FCC49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93505"/>
    <w:multiLevelType w:val="hybridMultilevel"/>
    <w:tmpl w:val="6E4A7140"/>
    <w:lvl w:ilvl="0" w:tplc="B9CE91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503938"/>
    <w:multiLevelType w:val="hybridMultilevel"/>
    <w:tmpl w:val="11D68F80"/>
    <w:lvl w:ilvl="0" w:tplc="225EFB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BB36D5"/>
    <w:multiLevelType w:val="hybridMultilevel"/>
    <w:tmpl w:val="F1366336"/>
    <w:lvl w:ilvl="0" w:tplc="8AE63F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EA092B"/>
    <w:multiLevelType w:val="hybridMultilevel"/>
    <w:tmpl w:val="C71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F73CE7"/>
    <w:multiLevelType w:val="hybridMultilevel"/>
    <w:tmpl w:val="6A8A9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183E37"/>
    <w:multiLevelType w:val="multilevel"/>
    <w:tmpl w:val="111A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204FD"/>
    <w:multiLevelType w:val="multilevel"/>
    <w:tmpl w:val="18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812">
    <w:abstractNumId w:val="8"/>
  </w:num>
  <w:num w:numId="2" w16cid:durableId="1906604990">
    <w:abstractNumId w:val="7"/>
  </w:num>
  <w:num w:numId="3" w16cid:durableId="1829126413">
    <w:abstractNumId w:val="5"/>
  </w:num>
  <w:num w:numId="4" w16cid:durableId="110517551">
    <w:abstractNumId w:val="6"/>
  </w:num>
  <w:num w:numId="5" w16cid:durableId="2005552624">
    <w:abstractNumId w:val="2"/>
  </w:num>
  <w:num w:numId="6" w16cid:durableId="1495412122">
    <w:abstractNumId w:val="0"/>
  </w:num>
  <w:num w:numId="7" w16cid:durableId="1285889462">
    <w:abstractNumId w:val="1"/>
  </w:num>
  <w:num w:numId="8" w16cid:durableId="1458796145">
    <w:abstractNumId w:val="3"/>
  </w:num>
  <w:num w:numId="9" w16cid:durableId="195312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6B93"/>
    <w:rsid w:val="00006FB7"/>
    <w:rsid w:val="00013883"/>
    <w:rsid w:val="000149E4"/>
    <w:rsid w:val="0002074D"/>
    <w:rsid w:val="000214CF"/>
    <w:rsid w:val="000262B0"/>
    <w:rsid w:val="00036213"/>
    <w:rsid w:val="0003717B"/>
    <w:rsid w:val="0004687F"/>
    <w:rsid w:val="00047425"/>
    <w:rsid w:val="00073143"/>
    <w:rsid w:val="000761CC"/>
    <w:rsid w:val="00082258"/>
    <w:rsid w:val="00084DEB"/>
    <w:rsid w:val="00092523"/>
    <w:rsid w:val="000B155E"/>
    <w:rsid w:val="000B4372"/>
    <w:rsid w:val="000B52CD"/>
    <w:rsid w:val="000C47E3"/>
    <w:rsid w:val="000D2D3B"/>
    <w:rsid w:val="000D6DCA"/>
    <w:rsid w:val="000E7087"/>
    <w:rsid w:val="000F6C41"/>
    <w:rsid w:val="000F7AA8"/>
    <w:rsid w:val="001062A8"/>
    <w:rsid w:val="00107821"/>
    <w:rsid w:val="00110449"/>
    <w:rsid w:val="00111ACD"/>
    <w:rsid w:val="00122F3C"/>
    <w:rsid w:val="00130476"/>
    <w:rsid w:val="0013151F"/>
    <w:rsid w:val="00133885"/>
    <w:rsid w:val="00155A5D"/>
    <w:rsid w:val="00157603"/>
    <w:rsid w:val="00167A4C"/>
    <w:rsid w:val="00173334"/>
    <w:rsid w:val="0018512D"/>
    <w:rsid w:val="00186256"/>
    <w:rsid w:val="00190B25"/>
    <w:rsid w:val="00190D80"/>
    <w:rsid w:val="001910A1"/>
    <w:rsid w:val="001934B2"/>
    <w:rsid w:val="001A0D7E"/>
    <w:rsid w:val="001A287E"/>
    <w:rsid w:val="001B0387"/>
    <w:rsid w:val="001C4736"/>
    <w:rsid w:val="001C6188"/>
    <w:rsid w:val="001D17CD"/>
    <w:rsid w:val="001D1CFA"/>
    <w:rsid w:val="001D5677"/>
    <w:rsid w:val="001E3815"/>
    <w:rsid w:val="001E3E29"/>
    <w:rsid w:val="001E49C1"/>
    <w:rsid w:val="001E4C4E"/>
    <w:rsid w:val="00200AAC"/>
    <w:rsid w:val="00200DC5"/>
    <w:rsid w:val="002101BF"/>
    <w:rsid w:val="002103EE"/>
    <w:rsid w:val="00210E21"/>
    <w:rsid w:val="002131C0"/>
    <w:rsid w:val="00216A30"/>
    <w:rsid w:val="002241FB"/>
    <w:rsid w:val="00225B03"/>
    <w:rsid w:val="00226DA2"/>
    <w:rsid w:val="00231E8A"/>
    <w:rsid w:val="002344CC"/>
    <w:rsid w:val="002421A2"/>
    <w:rsid w:val="002433A1"/>
    <w:rsid w:val="00247576"/>
    <w:rsid w:val="0025389B"/>
    <w:rsid w:val="00256083"/>
    <w:rsid w:val="00264BD0"/>
    <w:rsid w:val="00267562"/>
    <w:rsid w:val="00270D2E"/>
    <w:rsid w:val="00275199"/>
    <w:rsid w:val="0027721B"/>
    <w:rsid w:val="00280758"/>
    <w:rsid w:val="002A4AC9"/>
    <w:rsid w:val="002F0E1B"/>
    <w:rsid w:val="002F33AC"/>
    <w:rsid w:val="002F386F"/>
    <w:rsid w:val="0030455E"/>
    <w:rsid w:val="0030597F"/>
    <w:rsid w:val="00306F0C"/>
    <w:rsid w:val="00310C7D"/>
    <w:rsid w:val="00312DA5"/>
    <w:rsid w:val="00315018"/>
    <w:rsid w:val="003200B0"/>
    <w:rsid w:val="00323B55"/>
    <w:rsid w:val="00324DDA"/>
    <w:rsid w:val="00326663"/>
    <w:rsid w:val="00334D35"/>
    <w:rsid w:val="00334F0E"/>
    <w:rsid w:val="00335576"/>
    <w:rsid w:val="00336C6E"/>
    <w:rsid w:val="0035734A"/>
    <w:rsid w:val="00361FEC"/>
    <w:rsid w:val="00373D62"/>
    <w:rsid w:val="00374945"/>
    <w:rsid w:val="00381F7B"/>
    <w:rsid w:val="00385BEC"/>
    <w:rsid w:val="00386AAE"/>
    <w:rsid w:val="003B175E"/>
    <w:rsid w:val="003B3B37"/>
    <w:rsid w:val="003C1DC6"/>
    <w:rsid w:val="003C334D"/>
    <w:rsid w:val="003D6FE1"/>
    <w:rsid w:val="003E359A"/>
    <w:rsid w:val="003F0FD5"/>
    <w:rsid w:val="00404EE8"/>
    <w:rsid w:val="00411330"/>
    <w:rsid w:val="00423506"/>
    <w:rsid w:val="00427688"/>
    <w:rsid w:val="00427E75"/>
    <w:rsid w:val="00440162"/>
    <w:rsid w:val="004441BB"/>
    <w:rsid w:val="0044674E"/>
    <w:rsid w:val="00450BAD"/>
    <w:rsid w:val="00453B64"/>
    <w:rsid w:val="004549E4"/>
    <w:rsid w:val="004554D9"/>
    <w:rsid w:val="004658A6"/>
    <w:rsid w:val="00481702"/>
    <w:rsid w:val="00491916"/>
    <w:rsid w:val="00494275"/>
    <w:rsid w:val="00494A27"/>
    <w:rsid w:val="004A1E50"/>
    <w:rsid w:val="004A2182"/>
    <w:rsid w:val="004A40A9"/>
    <w:rsid w:val="004A63F4"/>
    <w:rsid w:val="004B2D7F"/>
    <w:rsid w:val="004B4FDB"/>
    <w:rsid w:val="004B6FCB"/>
    <w:rsid w:val="004C5A8B"/>
    <w:rsid w:val="004D2241"/>
    <w:rsid w:val="004D2E75"/>
    <w:rsid w:val="004D35E1"/>
    <w:rsid w:val="004D40AE"/>
    <w:rsid w:val="004D727C"/>
    <w:rsid w:val="004E7022"/>
    <w:rsid w:val="004F5858"/>
    <w:rsid w:val="005021D5"/>
    <w:rsid w:val="005054BA"/>
    <w:rsid w:val="00515075"/>
    <w:rsid w:val="00517636"/>
    <w:rsid w:val="00526B50"/>
    <w:rsid w:val="00535B6C"/>
    <w:rsid w:val="00545A38"/>
    <w:rsid w:val="00555389"/>
    <w:rsid w:val="0055618E"/>
    <w:rsid w:val="00570754"/>
    <w:rsid w:val="005707DD"/>
    <w:rsid w:val="00572261"/>
    <w:rsid w:val="005765CC"/>
    <w:rsid w:val="00597D0B"/>
    <w:rsid w:val="005B1742"/>
    <w:rsid w:val="005B556B"/>
    <w:rsid w:val="005D1597"/>
    <w:rsid w:val="005E0CE5"/>
    <w:rsid w:val="005F4AEB"/>
    <w:rsid w:val="00602681"/>
    <w:rsid w:val="00604BE8"/>
    <w:rsid w:val="00622A39"/>
    <w:rsid w:val="00634124"/>
    <w:rsid w:val="00644169"/>
    <w:rsid w:val="0064462F"/>
    <w:rsid w:val="006472ED"/>
    <w:rsid w:val="00651892"/>
    <w:rsid w:val="00671A90"/>
    <w:rsid w:val="00675E18"/>
    <w:rsid w:val="00677344"/>
    <w:rsid w:val="0067793D"/>
    <w:rsid w:val="00683549"/>
    <w:rsid w:val="00687072"/>
    <w:rsid w:val="006A167C"/>
    <w:rsid w:val="006A3B52"/>
    <w:rsid w:val="006A5248"/>
    <w:rsid w:val="006A702B"/>
    <w:rsid w:val="006B3578"/>
    <w:rsid w:val="006B3F9D"/>
    <w:rsid w:val="006B58EF"/>
    <w:rsid w:val="006C4649"/>
    <w:rsid w:val="006C59AC"/>
    <w:rsid w:val="006D793E"/>
    <w:rsid w:val="006E3E8B"/>
    <w:rsid w:val="006E74D3"/>
    <w:rsid w:val="006F34CA"/>
    <w:rsid w:val="006F435F"/>
    <w:rsid w:val="006F730E"/>
    <w:rsid w:val="00700914"/>
    <w:rsid w:val="00702D41"/>
    <w:rsid w:val="00706CC0"/>
    <w:rsid w:val="007108AF"/>
    <w:rsid w:val="007114DE"/>
    <w:rsid w:val="00711EE5"/>
    <w:rsid w:val="00720F9F"/>
    <w:rsid w:val="00732B65"/>
    <w:rsid w:val="0074094B"/>
    <w:rsid w:val="00743FE8"/>
    <w:rsid w:val="00767E48"/>
    <w:rsid w:val="00772A88"/>
    <w:rsid w:val="00781155"/>
    <w:rsid w:val="00782A46"/>
    <w:rsid w:val="00783307"/>
    <w:rsid w:val="007920E1"/>
    <w:rsid w:val="007A2FA5"/>
    <w:rsid w:val="007A52D9"/>
    <w:rsid w:val="007B1C97"/>
    <w:rsid w:val="007B535C"/>
    <w:rsid w:val="007B6D1D"/>
    <w:rsid w:val="007B6F4D"/>
    <w:rsid w:val="007C1983"/>
    <w:rsid w:val="007C215D"/>
    <w:rsid w:val="007C6C12"/>
    <w:rsid w:val="007D03A1"/>
    <w:rsid w:val="007D78E5"/>
    <w:rsid w:val="007E0757"/>
    <w:rsid w:val="007E27DE"/>
    <w:rsid w:val="007E5881"/>
    <w:rsid w:val="007E7C72"/>
    <w:rsid w:val="007F3E05"/>
    <w:rsid w:val="007F3E8A"/>
    <w:rsid w:val="007F4B49"/>
    <w:rsid w:val="007F61B9"/>
    <w:rsid w:val="007F7D28"/>
    <w:rsid w:val="008068D8"/>
    <w:rsid w:val="00831B17"/>
    <w:rsid w:val="00840121"/>
    <w:rsid w:val="00846977"/>
    <w:rsid w:val="00846A36"/>
    <w:rsid w:val="00862950"/>
    <w:rsid w:val="00877225"/>
    <w:rsid w:val="00883871"/>
    <w:rsid w:val="00887558"/>
    <w:rsid w:val="00897E6F"/>
    <w:rsid w:val="008A13DC"/>
    <w:rsid w:val="008A5E41"/>
    <w:rsid w:val="008A6A5C"/>
    <w:rsid w:val="008B07D0"/>
    <w:rsid w:val="008B2681"/>
    <w:rsid w:val="008B2B6D"/>
    <w:rsid w:val="008B2BA4"/>
    <w:rsid w:val="008C0389"/>
    <w:rsid w:val="008C3A01"/>
    <w:rsid w:val="008D1C44"/>
    <w:rsid w:val="008D203F"/>
    <w:rsid w:val="008D6FD5"/>
    <w:rsid w:val="008E4EBC"/>
    <w:rsid w:val="008E62DF"/>
    <w:rsid w:val="008E64C5"/>
    <w:rsid w:val="008E7C95"/>
    <w:rsid w:val="008E7E52"/>
    <w:rsid w:val="008F2659"/>
    <w:rsid w:val="008F2F48"/>
    <w:rsid w:val="00903BEA"/>
    <w:rsid w:val="00904F35"/>
    <w:rsid w:val="009103A0"/>
    <w:rsid w:val="0091164E"/>
    <w:rsid w:val="00912CEE"/>
    <w:rsid w:val="00915382"/>
    <w:rsid w:val="00915492"/>
    <w:rsid w:val="0092302A"/>
    <w:rsid w:val="0093519A"/>
    <w:rsid w:val="009373B6"/>
    <w:rsid w:val="009403F4"/>
    <w:rsid w:val="009461FF"/>
    <w:rsid w:val="00961F49"/>
    <w:rsid w:val="00965CB9"/>
    <w:rsid w:val="00971EA3"/>
    <w:rsid w:val="0097286A"/>
    <w:rsid w:val="00973413"/>
    <w:rsid w:val="00975E6C"/>
    <w:rsid w:val="009807C6"/>
    <w:rsid w:val="009828D9"/>
    <w:rsid w:val="00982EC5"/>
    <w:rsid w:val="00986033"/>
    <w:rsid w:val="00991E03"/>
    <w:rsid w:val="00995D36"/>
    <w:rsid w:val="009A11FE"/>
    <w:rsid w:val="009A2D1B"/>
    <w:rsid w:val="009B6622"/>
    <w:rsid w:val="009D2DB9"/>
    <w:rsid w:val="009E7FC9"/>
    <w:rsid w:val="009F1927"/>
    <w:rsid w:val="009F6C2B"/>
    <w:rsid w:val="00A07487"/>
    <w:rsid w:val="00A116D3"/>
    <w:rsid w:val="00A12C3C"/>
    <w:rsid w:val="00A62519"/>
    <w:rsid w:val="00A636EC"/>
    <w:rsid w:val="00A63C71"/>
    <w:rsid w:val="00A71660"/>
    <w:rsid w:val="00A72BA4"/>
    <w:rsid w:val="00A746E2"/>
    <w:rsid w:val="00A76C6B"/>
    <w:rsid w:val="00A7735D"/>
    <w:rsid w:val="00A8093A"/>
    <w:rsid w:val="00A8248C"/>
    <w:rsid w:val="00A97494"/>
    <w:rsid w:val="00AA16EC"/>
    <w:rsid w:val="00AA1D9D"/>
    <w:rsid w:val="00AB41F7"/>
    <w:rsid w:val="00AB449C"/>
    <w:rsid w:val="00AB5AD4"/>
    <w:rsid w:val="00AC23AB"/>
    <w:rsid w:val="00AC4B08"/>
    <w:rsid w:val="00AD3DC2"/>
    <w:rsid w:val="00AD7385"/>
    <w:rsid w:val="00AD788E"/>
    <w:rsid w:val="00AE0B53"/>
    <w:rsid w:val="00AE4DCC"/>
    <w:rsid w:val="00AF1FF4"/>
    <w:rsid w:val="00AF6798"/>
    <w:rsid w:val="00B025A4"/>
    <w:rsid w:val="00B14594"/>
    <w:rsid w:val="00B17025"/>
    <w:rsid w:val="00B20C56"/>
    <w:rsid w:val="00B32563"/>
    <w:rsid w:val="00B33701"/>
    <w:rsid w:val="00B46237"/>
    <w:rsid w:val="00B46314"/>
    <w:rsid w:val="00B53258"/>
    <w:rsid w:val="00B5705C"/>
    <w:rsid w:val="00B65F9A"/>
    <w:rsid w:val="00B817C7"/>
    <w:rsid w:val="00B872A5"/>
    <w:rsid w:val="00B95955"/>
    <w:rsid w:val="00B96FE0"/>
    <w:rsid w:val="00BB010C"/>
    <w:rsid w:val="00BB0B91"/>
    <w:rsid w:val="00BC180B"/>
    <w:rsid w:val="00BC2B1D"/>
    <w:rsid w:val="00BD32AA"/>
    <w:rsid w:val="00BD7B56"/>
    <w:rsid w:val="00BE1E7F"/>
    <w:rsid w:val="00BE58D7"/>
    <w:rsid w:val="00BE7012"/>
    <w:rsid w:val="00BF1E20"/>
    <w:rsid w:val="00C01E7F"/>
    <w:rsid w:val="00C02C78"/>
    <w:rsid w:val="00C07EB9"/>
    <w:rsid w:val="00C11D0C"/>
    <w:rsid w:val="00C1780F"/>
    <w:rsid w:val="00C26B2D"/>
    <w:rsid w:val="00C31A64"/>
    <w:rsid w:val="00C34210"/>
    <w:rsid w:val="00C40088"/>
    <w:rsid w:val="00C52AE4"/>
    <w:rsid w:val="00C55F1A"/>
    <w:rsid w:val="00C60D7F"/>
    <w:rsid w:val="00C60FF9"/>
    <w:rsid w:val="00C7231C"/>
    <w:rsid w:val="00C77322"/>
    <w:rsid w:val="00C84E7E"/>
    <w:rsid w:val="00C8523D"/>
    <w:rsid w:val="00C92F2C"/>
    <w:rsid w:val="00CA4EBF"/>
    <w:rsid w:val="00CB0286"/>
    <w:rsid w:val="00CB6F66"/>
    <w:rsid w:val="00CC30F7"/>
    <w:rsid w:val="00CC6F5D"/>
    <w:rsid w:val="00CC7551"/>
    <w:rsid w:val="00CC7A75"/>
    <w:rsid w:val="00CD0106"/>
    <w:rsid w:val="00CD03D7"/>
    <w:rsid w:val="00CD1894"/>
    <w:rsid w:val="00CD2170"/>
    <w:rsid w:val="00CF3CBE"/>
    <w:rsid w:val="00CF61EC"/>
    <w:rsid w:val="00CF68EC"/>
    <w:rsid w:val="00CF6EBF"/>
    <w:rsid w:val="00D0427D"/>
    <w:rsid w:val="00D0768D"/>
    <w:rsid w:val="00D1306B"/>
    <w:rsid w:val="00D14770"/>
    <w:rsid w:val="00D17DAF"/>
    <w:rsid w:val="00D2060A"/>
    <w:rsid w:val="00D25B9F"/>
    <w:rsid w:val="00D27C77"/>
    <w:rsid w:val="00D3093B"/>
    <w:rsid w:val="00D32282"/>
    <w:rsid w:val="00D377DA"/>
    <w:rsid w:val="00D40572"/>
    <w:rsid w:val="00D412B7"/>
    <w:rsid w:val="00D41888"/>
    <w:rsid w:val="00D46331"/>
    <w:rsid w:val="00D47685"/>
    <w:rsid w:val="00D55B3A"/>
    <w:rsid w:val="00D65774"/>
    <w:rsid w:val="00D677A3"/>
    <w:rsid w:val="00D71B96"/>
    <w:rsid w:val="00D72163"/>
    <w:rsid w:val="00D80993"/>
    <w:rsid w:val="00D811BF"/>
    <w:rsid w:val="00D81833"/>
    <w:rsid w:val="00D81B3B"/>
    <w:rsid w:val="00D91E04"/>
    <w:rsid w:val="00D92F42"/>
    <w:rsid w:val="00D94007"/>
    <w:rsid w:val="00D946E7"/>
    <w:rsid w:val="00DA10A2"/>
    <w:rsid w:val="00DA3E64"/>
    <w:rsid w:val="00DA5E92"/>
    <w:rsid w:val="00DA6007"/>
    <w:rsid w:val="00DA7C3F"/>
    <w:rsid w:val="00DC75C2"/>
    <w:rsid w:val="00E01AA3"/>
    <w:rsid w:val="00E04090"/>
    <w:rsid w:val="00E051C6"/>
    <w:rsid w:val="00E06F19"/>
    <w:rsid w:val="00E074B4"/>
    <w:rsid w:val="00E1505E"/>
    <w:rsid w:val="00E2120F"/>
    <w:rsid w:val="00E341DB"/>
    <w:rsid w:val="00E342AB"/>
    <w:rsid w:val="00E36040"/>
    <w:rsid w:val="00E536F2"/>
    <w:rsid w:val="00EA0C18"/>
    <w:rsid w:val="00EA277F"/>
    <w:rsid w:val="00EA345A"/>
    <w:rsid w:val="00EA6A2C"/>
    <w:rsid w:val="00EC2DF5"/>
    <w:rsid w:val="00ED0BBF"/>
    <w:rsid w:val="00EE5AFD"/>
    <w:rsid w:val="00EF13A8"/>
    <w:rsid w:val="00F03F4C"/>
    <w:rsid w:val="00F0445B"/>
    <w:rsid w:val="00F046FB"/>
    <w:rsid w:val="00F078A3"/>
    <w:rsid w:val="00F13DBE"/>
    <w:rsid w:val="00F141D9"/>
    <w:rsid w:val="00F34EC7"/>
    <w:rsid w:val="00F35A5E"/>
    <w:rsid w:val="00F4217F"/>
    <w:rsid w:val="00F44A12"/>
    <w:rsid w:val="00F44B7B"/>
    <w:rsid w:val="00F47881"/>
    <w:rsid w:val="00F53753"/>
    <w:rsid w:val="00F61CC9"/>
    <w:rsid w:val="00F631E4"/>
    <w:rsid w:val="00F671FD"/>
    <w:rsid w:val="00F80AAD"/>
    <w:rsid w:val="00F80DE2"/>
    <w:rsid w:val="00F90FCA"/>
    <w:rsid w:val="00F97FC3"/>
    <w:rsid w:val="00FA206C"/>
    <w:rsid w:val="00FB6A87"/>
    <w:rsid w:val="00FC09EC"/>
    <w:rsid w:val="00FC1830"/>
    <w:rsid w:val="00FC3825"/>
    <w:rsid w:val="00FE4159"/>
    <w:rsid w:val="00FF0AD4"/>
    <w:rsid w:val="00FF102F"/>
    <w:rsid w:val="00FF4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CB"/>
  <w15:chartTrackingRefBased/>
  <w15:docId w15:val="{AEA8D64D-DC6B-42DF-8BA9-936DCC24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275"/>
  </w:style>
  <w:style w:type="paragraph" w:styleId="Nadpis1">
    <w:name w:val="heading 1"/>
    <w:basedOn w:val="Normln"/>
    <w:link w:val="Nadpis1Char"/>
    <w:uiPriority w:val="9"/>
    <w:qFormat/>
    <w:rsid w:val="00CC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CC30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30F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CC30F7"/>
    <w:rPr>
      <w:color w:val="0000FF"/>
      <w:u w:val="single"/>
    </w:rPr>
  </w:style>
  <w:style w:type="character" w:customStyle="1" w:styleId="Nadpis4Char">
    <w:name w:val="Nadpis 4 Char"/>
    <w:basedOn w:val="Standardnpsmoodstavce"/>
    <w:link w:val="Nadpis4"/>
    <w:uiPriority w:val="9"/>
    <w:semiHidden/>
    <w:rsid w:val="00CC30F7"/>
    <w:rPr>
      <w:rFonts w:asciiTheme="majorHAnsi" w:eastAsiaTheme="majorEastAsia" w:hAnsiTheme="majorHAnsi" w:cstheme="majorBidi"/>
      <w:i/>
      <w:iCs/>
      <w:color w:val="2F5496" w:themeColor="accent1" w:themeShade="BF"/>
    </w:rPr>
  </w:style>
  <w:style w:type="character" w:styleId="Siln">
    <w:name w:val="Strong"/>
    <w:basedOn w:val="Standardnpsmoodstavce"/>
    <w:uiPriority w:val="22"/>
    <w:qFormat/>
    <w:rsid w:val="00CC30F7"/>
    <w:rPr>
      <w:b/>
      <w:bCs/>
    </w:rPr>
  </w:style>
  <w:style w:type="character" w:customStyle="1" w:styleId="vyskyt">
    <w:name w:val="vyskyt"/>
    <w:basedOn w:val="Standardnpsmoodstavce"/>
    <w:rsid w:val="00CC30F7"/>
  </w:style>
  <w:style w:type="paragraph" w:styleId="Normlnweb">
    <w:name w:val="Normal (Web)"/>
    <w:basedOn w:val="Normln"/>
    <w:uiPriority w:val="99"/>
    <w:unhideWhenUsed/>
    <w:rsid w:val="00CC30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30F7"/>
    <w:rPr>
      <w:sz w:val="16"/>
      <w:szCs w:val="16"/>
    </w:rPr>
  </w:style>
  <w:style w:type="paragraph" w:styleId="Textkomente">
    <w:name w:val="annotation text"/>
    <w:basedOn w:val="Normln"/>
    <w:link w:val="TextkomenteChar"/>
    <w:uiPriority w:val="99"/>
    <w:unhideWhenUsed/>
    <w:rsid w:val="00CC30F7"/>
    <w:pPr>
      <w:spacing w:line="240" w:lineRule="auto"/>
    </w:pPr>
    <w:rPr>
      <w:sz w:val="20"/>
      <w:szCs w:val="20"/>
    </w:rPr>
  </w:style>
  <w:style w:type="character" w:customStyle="1" w:styleId="TextkomenteChar">
    <w:name w:val="Text komentáře Char"/>
    <w:basedOn w:val="Standardnpsmoodstavce"/>
    <w:link w:val="Textkomente"/>
    <w:uiPriority w:val="99"/>
    <w:rsid w:val="00CC30F7"/>
    <w:rPr>
      <w:sz w:val="20"/>
      <w:szCs w:val="20"/>
    </w:rPr>
  </w:style>
  <w:style w:type="character" w:styleId="Sledovanodkaz">
    <w:name w:val="FollowedHyperlink"/>
    <w:basedOn w:val="Standardnpsmoodstavce"/>
    <w:uiPriority w:val="99"/>
    <w:semiHidden/>
    <w:unhideWhenUsed/>
    <w:rsid w:val="00CC30F7"/>
    <w:rPr>
      <w:color w:val="954F72" w:themeColor="followedHyperlink"/>
      <w:u w:val="single"/>
    </w:rPr>
  </w:style>
  <w:style w:type="character" w:styleId="Nevyeenzmnka">
    <w:name w:val="Unresolved Mention"/>
    <w:basedOn w:val="Standardnpsmoodstavce"/>
    <w:uiPriority w:val="99"/>
    <w:semiHidden/>
    <w:unhideWhenUsed/>
    <w:rsid w:val="00CC30F7"/>
    <w:rPr>
      <w:color w:val="605E5C"/>
      <w:shd w:val="clear" w:color="auto" w:fill="E1DFDD"/>
    </w:rPr>
  </w:style>
  <w:style w:type="character" w:customStyle="1" w:styleId="normaltextrun">
    <w:name w:val="normaltextrun"/>
    <w:basedOn w:val="Standardnpsmoodstavce"/>
    <w:rsid w:val="00AA1D9D"/>
  </w:style>
  <w:style w:type="character" w:customStyle="1" w:styleId="eop">
    <w:name w:val="eop"/>
    <w:basedOn w:val="Standardnpsmoodstavce"/>
    <w:rsid w:val="00AA1D9D"/>
  </w:style>
  <w:style w:type="paragraph" w:styleId="Pedmtkomente">
    <w:name w:val="annotation subject"/>
    <w:basedOn w:val="Textkomente"/>
    <w:next w:val="Textkomente"/>
    <w:link w:val="PedmtkomenteChar"/>
    <w:uiPriority w:val="99"/>
    <w:semiHidden/>
    <w:unhideWhenUsed/>
    <w:rsid w:val="00AA1D9D"/>
    <w:rPr>
      <w:b/>
      <w:bCs/>
    </w:rPr>
  </w:style>
  <w:style w:type="character" w:customStyle="1" w:styleId="PedmtkomenteChar">
    <w:name w:val="Předmět komentáře Char"/>
    <w:basedOn w:val="TextkomenteChar"/>
    <w:link w:val="Pedmtkomente"/>
    <w:uiPriority w:val="99"/>
    <w:semiHidden/>
    <w:rsid w:val="00AA1D9D"/>
    <w:rPr>
      <w:b/>
      <w:bCs/>
      <w:sz w:val="20"/>
      <w:szCs w:val="20"/>
    </w:rPr>
  </w:style>
  <w:style w:type="character" w:customStyle="1" w:styleId="superscript">
    <w:name w:val="superscript"/>
    <w:basedOn w:val="Standardnpsmoodstavce"/>
    <w:rsid w:val="0044674E"/>
  </w:style>
  <w:style w:type="paragraph" w:styleId="Revize">
    <w:name w:val="Revision"/>
    <w:hidden/>
    <w:uiPriority w:val="99"/>
    <w:semiHidden/>
    <w:rsid w:val="00555389"/>
    <w:pPr>
      <w:spacing w:after="0" w:line="240" w:lineRule="auto"/>
    </w:pPr>
  </w:style>
  <w:style w:type="paragraph" w:customStyle="1" w:styleId="li">
    <w:name w:val="li"/>
    <w:basedOn w:val="Normln"/>
    <w:rsid w:val="00111A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
    <w:name w:val="num"/>
    <w:basedOn w:val="Standardnpsmoodstavce"/>
    <w:rsid w:val="00111ACD"/>
  </w:style>
  <w:style w:type="paragraph" w:customStyle="1" w:styleId="ChapterTitle">
    <w:name w:val="ChapterTitle"/>
    <w:basedOn w:val="Normln"/>
    <w:next w:val="Normln"/>
    <w:rsid w:val="00EA6A2C"/>
    <w:pPr>
      <w:keepNext/>
      <w:spacing w:before="120" w:after="360" w:line="240" w:lineRule="auto"/>
      <w:jc w:val="center"/>
    </w:pPr>
    <w:rPr>
      <w:rFonts w:ascii="Times New Roman" w:hAnsi="Times New Roman" w:cs="Times New Roman"/>
      <w:b/>
      <w:sz w:val="32"/>
    </w:rPr>
  </w:style>
  <w:style w:type="paragraph" w:styleId="Odstavecseseznamem">
    <w:name w:val="List Paragraph"/>
    <w:basedOn w:val="Normln"/>
    <w:uiPriority w:val="34"/>
    <w:qFormat/>
    <w:rsid w:val="00453B64"/>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ln1">
    <w:name w:val="Normální1"/>
    <w:basedOn w:val="Normln"/>
    <w:rsid w:val="00991E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
    <w:basedOn w:val="Normln"/>
    <w:link w:val="TextpoznpodarouChar"/>
    <w:uiPriority w:val="99"/>
    <w:unhideWhenUsed/>
    <w:qFormat/>
    <w:rsid w:val="00671A90"/>
    <w:pPr>
      <w:spacing w:after="0" w:line="240" w:lineRule="auto"/>
    </w:pPr>
    <w:rPr>
      <w:sz w:val="20"/>
      <w:szCs w:val="20"/>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671A90"/>
    <w:rPr>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link w:val="FootnotesymbolCarZchn"/>
    <w:uiPriority w:val="99"/>
    <w:unhideWhenUsed/>
    <w:qFormat/>
    <w:rsid w:val="00671A9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671A90"/>
    <w:pPr>
      <w:spacing w:line="240" w:lineRule="exact"/>
      <w:jc w:val="both"/>
    </w:pPr>
    <w:rPr>
      <w:vertAlign w:val="superscript"/>
    </w:rPr>
  </w:style>
  <w:style w:type="character" w:customStyle="1" w:styleId="dn">
    <w:name w:val="Žádný"/>
    <w:rsid w:val="004D35E1"/>
  </w:style>
  <w:style w:type="paragraph" w:customStyle="1" w:styleId="paragraph">
    <w:name w:val="paragraph"/>
    <w:basedOn w:val="Normln"/>
    <w:rsid w:val="00A716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1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83"/>
  </w:style>
  <w:style w:type="paragraph" w:styleId="Zpat">
    <w:name w:val="footer"/>
    <w:basedOn w:val="Normln"/>
    <w:link w:val="ZpatChar"/>
    <w:uiPriority w:val="99"/>
    <w:unhideWhenUsed/>
    <w:rsid w:val="007C1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598">
      <w:bodyDiv w:val="1"/>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
        <w:div w:id="2031490874">
          <w:marLeft w:val="0"/>
          <w:marRight w:val="0"/>
          <w:marTop w:val="0"/>
          <w:marBottom w:val="0"/>
          <w:divBdr>
            <w:top w:val="none" w:sz="0" w:space="0" w:color="auto"/>
            <w:left w:val="none" w:sz="0" w:space="0" w:color="auto"/>
            <w:bottom w:val="none" w:sz="0" w:space="0" w:color="auto"/>
            <w:right w:val="none" w:sz="0" w:space="0" w:color="auto"/>
          </w:divBdr>
        </w:div>
      </w:divsChild>
    </w:div>
    <w:div w:id="738090743">
      <w:bodyDiv w:val="1"/>
      <w:marLeft w:val="0"/>
      <w:marRight w:val="0"/>
      <w:marTop w:val="0"/>
      <w:marBottom w:val="0"/>
      <w:divBdr>
        <w:top w:val="none" w:sz="0" w:space="0" w:color="auto"/>
        <w:left w:val="none" w:sz="0" w:space="0" w:color="auto"/>
        <w:bottom w:val="none" w:sz="0" w:space="0" w:color="auto"/>
        <w:right w:val="none" w:sz="0" w:space="0" w:color="auto"/>
      </w:divBdr>
    </w:div>
    <w:div w:id="1332105083">
      <w:bodyDiv w:val="1"/>
      <w:marLeft w:val="0"/>
      <w:marRight w:val="0"/>
      <w:marTop w:val="0"/>
      <w:marBottom w:val="0"/>
      <w:divBdr>
        <w:top w:val="none" w:sz="0" w:space="0" w:color="auto"/>
        <w:left w:val="none" w:sz="0" w:space="0" w:color="auto"/>
        <w:bottom w:val="none" w:sz="0" w:space="0" w:color="auto"/>
        <w:right w:val="none" w:sz="0" w:space="0" w:color="auto"/>
      </w:divBdr>
    </w:div>
    <w:div w:id="1391080422">
      <w:bodyDiv w:val="1"/>
      <w:marLeft w:val="0"/>
      <w:marRight w:val="0"/>
      <w:marTop w:val="0"/>
      <w:marBottom w:val="0"/>
      <w:divBdr>
        <w:top w:val="none" w:sz="0" w:space="0" w:color="auto"/>
        <w:left w:val="none" w:sz="0" w:space="0" w:color="auto"/>
        <w:bottom w:val="none" w:sz="0" w:space="0" w:color="auto"/>
        <w:right w:val="none" w:sz="0" w:space="0" w:color="auto"/>
      </w:divBdr>
    </w:div>
    <w:div w:id="1737820235">
      <w:bodyDiv w:val="1"/>
      <w:marLeft w:val="0"/>
      <w:marRight w:val="0"/>
      <w:marTop w:val="0"/>
      <w:marBottom w:val="0"/>
      <w:divBdr>
        <w:top w:val="none" w:sz="0" w:space="0" w:color="auto"/>
        <w:left w:val="none" w:sz="0" w:space="0" w:color="auto"/>
        <w:bottom w:val="none" w:sz="0" w:space="0" w:color="auto"/>
        <w:right w:val="none" w:sz="0" w:space="0" w:color="auto"/>
      </w:divBdr>
      <w:divsChild>
        <w:div w:id="786849235">
          <w:marLeft w:val="0"/>
          <w:marRight w:val="0"/>
          <w:marTop w:val="0"/>
          <w:marBottom w:val="0"/>
          <w:divBdr>
            <w:top w:val="none" w:sz="0" w:space="0" w:color="auto"/>
            <w:left w:val="none" w:sz="0" w:space="0" w:color="auto"/>
            <w:bottom w:val="none" w:sz="0" w:space="0" w:color="auto"/>
            <w:right w:val="none" w:sz="0" w:space="0" w:color="auto"/>
          </w:divBdr>
        </w:div>
        <w:div w:id="141123773">
          <w:marLeft w:val="0"/>
          <w:marRight w:val="0"/>
          <w:marTop w:val="0"/>
          <w:marBottom w:val="0"/>
          <w:divBdr>
            <w:top w:val="none" w:sz="0" w:space="0" w:color="auto"/>
            <w:left w:val="none" w:sz="0" w:space="0" w:color="auto"/>
            <w:bottom w:val="none" w:sz="0" w:space="0" w:color="auto"/>
            <w:right w:val="none" w:sz="0" w:space="0" w:color="auto"/>
          </w:divBdr>
        </w:div>
      </w:divsChild>
    </w:div>
    <w:div w:id="20674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4PC0561" TargetMode="External"/><Relationship Id="rId13" Type="http://schemas.openxmlformats.org/officeDocument/2006/relationships/hyperlink" Target="https://data.consilium.europa.eu/doc/document/ST-11205-2024-INIT/en/pdf" TargetMode="External"/><Relationship Id="rId18" Type="http://schemas.openxmlformats.org/officeDocument/2006/relationships/hyperlink" Target="https://eur-lex.europa.eu/legal-content/EN/TXT/?uri=celex:52026PC00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ilium.europa.eu/en/documents/public-register/public-register-search/?WordsInSubject=common+specifications&amp;WordsInText=&amp;DocumentNumber=&amp;InterinstitutionalFiles=&amp;DocumentTypes=&amp;DateFrom=&amp;DateTo=&amp;MeetingDateFrom=&amp;MeetingDateTo=&amp;DocumentLanguage=EN&amp;OrderBy=DOCUMENT_DATE+DESC" TargetMode="External"/><Relationship Id="rId17" Type="http://schemas.openxmlformats.org/officeDocument/2006/relationships/hyperlink" Target="https://eur-lex.europa.eu/legal-content/cs/ALL/?uri=CELEX:32026R0405" TargetMode="External"/><Relationship Id="rId2" Type="http://schemas.openxmlformats.org/officeDocument/2006/relationships/numbering" Target="numbering.xml"/><Relationship Id="rId16" Type="http://schemas.openxmlformats.org/officeDocument/2006/relationships/hyperlink" Target="https://www.consilium.europa.eu/en/documents/public-register/public-register-search/?WordsInSubject=detergents&amp;WordsInText=&amp;DocumentNumber=&amp;InterinstitutionalFiles=&amp;DocumentTypes=&amp;DateFrom=&amp;DateTo=&amp;MeetingDateFrom=&amp;MeetingDateTo=&amp;DocumentLanguage=EN&amp;OrderBy=DOCUMENT_DATE+DE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52025PC0503" TargetMode="External"/><Relationship Id="rId5" Type="http://schemas.openxmlformats.org/officeDocument/2006/relationships/webSettings" Target="webSettings.xml"/><Relationship Id="rId15" Type="http://schemas.openxmlformats.org/officeDocument/2006/relationships/hyperlink" Target="https://www.consilium.europa.eu/cs/press/press-releases/2025/06/10/council-and-parliament-strike-a-deal-to-make-detergents-safer-for-the-population-and-the-environment/" TargetMode="External"/><Relationship Id="rId10" Type="http://schemas.openxmlformats.org/officeDocument/2006/relationships/hyperlink" Target="https://eur-lex.europa.eu/legal-content/EN/TXT/?uri=celex%3A52025PC0503" TargetMode="External"/><Relationship Id="rId19" Type="http://schemas.openxmlformats.org/officeDocument/2006/relationships/hyperlink" Target="file:///C:\Users\popadicova\Downloads\COUNCIL%20DECISION%20(EU)%202026\563" TargetMode="External"/><Relationship Id="rId4" Type="http://schemas.openxmlformats.org/officeDocument/2006/relationships/settings" Target="settings.xml"/><Relationship Id="rId9" Type="http://schemas.openxmlformats.org/officeDocument/2006/relationships/hyperlink" Target="https://eur-lex.europa.eu/eli/dir/2026/706/oj/eng?eliuri=eli%3Adir%3A2026%3A706%3Aoj&amp;locale=cs" TargetMode="External"/><Relationship Id="rId14" Type="http://schemas.openxmlformats.org/officeDocument/2006/relationships/hyperlink" Target="https://data.consilium.europa.eu/doc/document/ST-10507-2024-INIT/en/pdf"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510B-10CD-45F1-BA8B-A0B61B6F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8200</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Olga</dc:creator>
  <cp:keywords/>
  <dc:description/>
  <cp:lastModifiedBy>Králová Karolína</cp:lastModifiedBy>
  <cp:revision>2</cp:revision>
  <dcterms:created xsi:type="dcterms:W3CDTF">2026-04-01T09:56:00Z</dcterms:created>
  <dcterms:modified xsi:type="dcterms:W3CDTF">2026-04-01T09:56:00Z</dcterms:modified>
</cp:coreProperties>
</file>